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480"/>
        </w:tabs>
        <w:spacing w:line="600" w:lineRule="exact"/>
        <w:jc w:val="center"/>
        <w:rPr>
          <w:rFonts w:ascii="宋体" w:cs="宋体"/>
          <w:b/>
          <w:bCs/>
          <w:sz w:val="10"/>
          <w:szCs w:val="10"/>
        </w:rPr>
      </w:pPr>
      <w:r>
        <w:rPr>
          <w:rFonts w:hint="eastAsia" w:ascii="宋体" w:hAnsi="宋体" w:cs="宋体"/>
          <w:b/>
          <w:bCs/>
          <w:sz w:val="36"/>
          <w:szCs w:val="36"/>
        </w:rPr>
        <w:t>湘潭县供销合作社</w:t>
      </w:r>
      <w:r>
        <w:rPr>
          <w:rFonts w:hint="eastAsia" w:ascii="宋体" w:hAnsi="宋体" w:cs="宋体"/>
          <w:b/>
          <w:bCs/>
          <w:sz w:val="36"/>
          <w:szCs w:val="36"/>
          <w:lang w:val="en-US" w:eastAsia="zh-CN"/>
        </w:rPr>
        <w:t>2022年</w:t>
      </w:r>
      <w:r>
        <w:rPr>
          <w:rFonts w:hint="eastAsia" w:ascii="宋体" w:hAnsi="宋体" w:cs="宋体"/>
          <w:b/>
          <w:bCs/>
          <w:sz w:val="36"/>
          <w:szCs w:val="36"/>
        </w:rPr>
        <w:t>部门整体支出绩效评价报告</w:t>
      </w:r>
    </w:p>
    <w:p/>
    <w:tbl>
      <w:tblPr>
        <w:tblStyle w:val="6"/>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3"/>
        <w:gridCol w:w="2448"/>
        <w:gridCol w:w="5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273" w:type="dxa"/>
            <w:vMerge w:val="restart"/>
            <w:noWrap w:val="0"/>
            <w:vAlign w:val="center"/>
          </w:tcPr>
          <w:p>
            <w:pPr>
              <w:spacing w:line="576" w:lineRule="exact"/>
              <w:jc w:val="center"/>
              <w:rPr>
                <w:rFonts w:hint="eastAsia" w:ascii="仿宋_GB2312" w:hAnsi="宋体" w:eastAsia="仿宋_GB2312" w:cs="宋体"/>
                <w:b w:val="0"/>
                <w:bCs w:val="0"/>
                <w:szCs w:val="21"/>
                <w:lang w:val="en-US" w:eastAsia="zh-CN"/>
              </w:rPr>
            </w:pPr>
            <w:r>
              <w:rPr>
                <w:rFonts w:hint="eastAsia" w:ascii="仿宋_GB2312" w:hAnsi="宋体" w:eastAsia="仿宋_GB2312" w:cs="宋体"/>
                <w:b w:val="0"/>
                <w:bCs w:val="0"/>
                <w:szCs w:val="21"/>
                <w:lang w:val="en-US" w:eastAsia="zh-CN"/>
              </w:rPr>
              <w:t>部门概况</w:t>
            </w:r>
          </w:p>
        </w:tc>
        <w:tc>
          <w:tcPr>
            <w:tcW w:w="2448" w:type="dxa"/>
            <w:noWrap w:val="0"/>
            <w:vAlign w:val="center"/>
          </w:tcPr>
          <w:p>
            <w:pPr>
              <w:spacing w:line="576" w:lineRule="exact"/>
              <w:jc w:val="center"/>
              <w:rPr>
                <w:rFonts w:ascii="Calibri" w:hAnsi="Calibri" w:cs="Calibri"/>
                <w:kern w:val="0"/>
                <w:sz w:val="24"/>
                <w:szCs w:val="24"/>
              </w:rPr>
            </w:pPr>
            <w:r>
              <w:rPr>
                <w:rFonts w:hint="eastAsia" w:ascii="仿宋_GB2312" w:hAnsi="宋体" w:eastAsia="仿宋_GB2312" w:cs="宋体"/>
                <w:szCs w:val="21"/>
                <w:lang w:val="en-US" w:eastAsia="zh-CN"/>
              </w:rPr>
              <w:t>单位名称</w:t>
            </w:r>
          </w:p>
        </w:tc>
        <w:tc>
          <w:tcPr>
            <w:tcW w:w="5318" w:type="dxa"/>
            <w:noWrap w:val="0"/>
            <w:vAlign w:val="center"/>
          </w:tcPr>
          <w:p>
            <w:pPr>
              <w:widowControl/>
              <w:spacing w:beforeAutospacing="1" w:afterAutospacing="1"/>
              <w:jc w:val="center"/>
              <w:rPr>
                <w:rFonts w:ascii="仿宋_GB2312" w:hAnsi="宋体" w:eastAsia="仿宋_GB2312"/>
              </w:rPr>
            </w:pPr>
            <w:r>
              <w:rPr>
                <w:rFonts w:hint="eastAsia" w:ascii="仿宋_GB2312" w:hAnsi="宋体" w:eastAsia="仿宋_GB2312" w:cs="宋体"/>
                <w:szCs w:val="21"/>
                <w:lang w:val="en-US" w:eastAsia="zh-CN"/>
              </w:rPr>
              <w:t>湘潭县供销合作联合社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273" w:type="dxa"/>
            <w:vMerge w:val="continue"/>
            <w:noWrap w:val="0"/>
            <w:vAlign w:val="top"/>
          </w:tcPr>
          <w:p>
            <w:pPr>
              <w:spacing w:line="576" w:lineRule="exact"/>
              <w:jc w:val="center"/>
              <w:rPr>
                <w:rFonts w:ascii="Calibri" w:hAnsi="Calibri" w:cs="Calibri"/>
                <w:kern w:val="0"/>
                <w:sz w:val="24"/>
                <w:szCs w:val="24"/>
              </w:rPr>
            </w:pPr>
          </w:p>
        </w:tc>
        <w:tc>
          <w:tcPr>
            <w:tcW w:w="2448" w:type="dxa"/>
            <w:noWrap w:val="0"/>
            <w:vAlign w:val="center"/>
          </w:tcPr>
          <w:p>
            <w:pPr>
              <w:spacing w:line="576" w:lineRule="exact"/>
              <w:jc w:val="center"/>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年度预算金额</w:t>
            </w:r>
          </w:p>
        </w:tc>
        <w:tc>
          <w:tcPr>
            <w:tcW w:w="5318" w:type="dxa"/>
            <w:noWrap w:val="0"/>
            <w:vAlign w:val="center"/>
          </w:tcPr>
          <w:p>
            <w:pPr>
              <w:widowControl/>
              <w:spacing w:beforeAutospacing="1" w:afterAutospacing="1"/>
              <w:jc w:val="center"/>
              <w:rPr>
                <w:rFonts w:ascii="仿宋_GB2312" w:hAnsi="宋体"/>
              </w:rPr>
            </w:pPr>
            <w:r>
              <w:rPr>
                <w:rFonts w:hint="eastAsia" w:ascii="仿宋_GB2312" w:hAnsi="宋体" w:eastAsia="仿宋_GB2312" w:cs="宋体"/>
                <w:szCs w:val="21"/>
                <w:lang w:val="en-US" w:eastAsia="zh-CN"/>
              </w:rPr>
              <w:t>566.94万元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273" w:type="dxa"/>
            <w:vMerge w:val="continue"/>
            <w:noWrap w:val="0"/>
            <w:vAlign w:val="top"/>
          </w:tcPr>
          <w:p>
            <w:pPr>
              <w:spacing w:line="576" w:lineRule="exact"/>
              <w:jc w:val="center"/>
              <w:rPr>
                <w:rFonts w:ascii="Calibri" w:hAnsi="Calibri" w:cs="Calibri"/>
                <w:kern w:val="0"/>
                <w:sz w:val="24"/>
                <w:szCs w:val="24"/>
              </w:rPr>
            </w:pPr>
          </w:p>
        </w:tc>
        <w:tc>
          <w:tcPr>
            <w:tcW w:w="2448" w:type="dxa"/>
            <w:noWrap w:val="0"/>
            <w:vAlign w:val="center"/>
          </w:tcPr>
          <w:p>
            <w:pPr>
              <w:spacing w:line="576" w:lineRule="exact"/>
              <w:jc w:val="center"/>
              <w:rPr>
                <w:rFonts w:hint="eastAsia" w:ascii="仿宋_GB2312" w:hAnsi="宋体" w:eastAsia="仿宋_GB2312" w:cs="宋体"/>
                <w:szCs w:val="21"/>
                <w:lang w:val="en-US" w:eastAsia="zh-CN"/>
              </w:rPr>
            </w:pPr>
            <w:r>
              <w:rPr>
                <w:rFonts w:hint="eastAsia" w:ascii="仿宋_GB2312" w:hAnsi="宋体" w:eastAsia="仿宋_GB2312" w:cs="宋体"/>
                <w:b w:val="0"/>
                <w:bCs w:val="0"/>
                <w:szCs w:val="21"/>
                <w:lang w:val="en-US" w:eastAsia="zh-CN"/>
              </w:rPr>
              <w:t>主管部门</w:t>
            </w:r>
          </w:p>
        </w:tc>
        <w:tc>
          <w:tcPr>
            <w:tcW w:w="5318" w:type="dxa"/>
            <w:noWrap w:val="0"/>
            <w:vAlign w:val="center"/>
          </w:tcPr>
          <w:p>
            <w:pPr>
              <w:jc w:val="center"/>
              <w:rPr>
                <w:rFonts w:ascii="仿宋_GB2312" w:hAnsi="宋体" w:eastAsia="仿宋_GB2312"/>
              </w:rPr>
            </w:pPr>
            <w:r>
              <w:rPr>
                <w:rFonts w:hint="eastAsia" w:ascii="仿宋_GB2312" w:hAnsi="宋体" w:eastAsia="仿宋_GB2312" w:cs="宋体"/>
                <w:szCs w:val="21"/>
                <w:lang w:val="en-US" w:eastAsia="zh-CN"/>
              </w:rPr>
              <w:t>湘潭县人民政府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273" w:type="dxa"/>
            <w:vMerge w:val="continue"/>
            <w:noWrap w:val="0"/>
            <w:vAlign w:val="top"/>
          </w:tcPr>
          <w:p>
            <w:pPr>
              <w:spacing w:line="576" w:lineRule="exact"/>
              <w:jc w:val="center"/>
              <w:rPr>
                <w:rFonts w:ascii="Calibri" w:hAnsi="Calibri" w:cs="Calibri"/>
                <w:kern w:val="0"/>
                <w:sz w:val="24"/>
                <w:szCs w:val="24"/>
              </w:rPr>
            </w:pPr>
          </w:p>
        </w:tc>
        <w:tc>
          <w:tcPr>
            <w:tcW w:w="2448" w:type="dxa"/>
            <w:noWrap w:val="0"/>
            <w:vAlign w:val="center"/>
          </w:tcPr>
          <w:p>
            <w:pPr>
              <w:spacing w:line="576" w:lineRule="exact"/>
              <w:jc w:val="center"/>
              <w:rPr>
                <w:rFonts w:ascii="Calibri" w:hAnsi="Calibri" w:cs="Calibri"/>
                <w:kern w:val="0"/>
                <w:sz w:val="24"/>
                <w:szCs w:val="24"/>
              </w:rPr>
            </w:pPr>
            <w:r>
              <w:rPr>
                <w:rFonts w:hint="eastAsia" w:ascii="仿宋_GB2312" w:hAnsi="宋体" w:eastAsia="仿宋_GB2312" w:cs="宋体"/>
                <w:b w:val="0"/>
                <w:bCs w:val="0"/>
                <w:szCs w:val="21"/>
                <w:lang w:val="en-US" w:eastAsia="zh-CN"/>
              </w:rPr>
              <w:t>单位基本职能</w:t>
            </w:r>
          </w:p>
        </w:tc>
        <w:tc>
          <w:tcPr>
            <w:tcW w:w="5318" w:type="dxa"/>
            <w:noWrap w:val="0"/>
            <w:vAlign w:val="center"/>
          </w:tcPr>
          <w:p>
            <w:pPr>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一、负责贯彻执行中央、省、市、县有关农村经济工作和社会发展的方针、政策，执行政府授权的管理职能，指导和布局农村经济发展，沟通城乡物资交流，协助工商部门管理好农村市场，指导供销合作社的改革和发展，向政府和有关部门反映农民的意见和要求。</w:t>
            </w:r>
          </w:p>
          <w:p>
            <w:pPr>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二、为农业生产服务。按政府授权，对重要的农业生产资料实施管理，组织和协调，草拟制订管理办法。</w:t>
            </w:r>
          </w:p>
          <w:p>
            <w:pPr>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三、为农村和农民服务。建立和逐步完善综合服务体系，为发展农村经济，为发展"三高"农业提供产前、产中、产后的服务。</w:t>
            </w:r>
          </w:p>
          <w:p>
            <w:pPr>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四、负责制定全县供销合作社的发展战略和中长期发展规划、经营网点及大型商场的设置规划、固定资产项目投资规划。</w:t>
            </w:r>
          </w:p>
          <w:p>
            <w:pPr>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五、代表县联社参与全国供销合作社系统的各项活动，组织对外、对内经济贸易、技术交流，促进全县供销合作社的经济发展。</w:t>
            </w:r>
          </w:p>
          <w:p>
            <w:pPr>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 xml:space="preserve">六、管理直属单位的资产、行使集体资产所有者代表和管理者的职能，指导基层社管好用好其所属的社有资产，理顺和化解债权债务，防止社有资产流失。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1273" w:type="dxa"/>
            <w:vMerge w:val="restart"/>
            <w:noWrap w:val="0"/>
            <w:vAlign w:val="center"/>
          </w:tcPr>
          <w:p>
            <w:pPr>
              <w:spacing w:line="576" w:lineRule="exact"/>
              <w:jc w:val="center"/>
              <w:rPr>
                <w:rFonts w:ascii="Calibri" w:hAnsi="Calibri" w:cs="Calibri"/>
                <w:kern w:val="0"/>
                <w:sz w:val="24"/>
                <w:szCs w:val="24"/>
              </w:rPr>
            </w:pPr>
            <w:r>
              <w:rPr>
                <w:rFonts w:hint="eastAsia" w:ascii="仿宋_GB2312" w:hAnsi="宋体" w:eastAsia="仿宋_GB2312" w:cs="宋体"/>
                <w:b w:val="0"/>
                <w:bCs w:val="0"/>
                <w:szCs w:val="21"/>
                <w:lang w:val="en-US" w:eastAsia="zh-CN"/>
              </w:rPr>
              <w:t>绩效完成情况</w:t>
            </w:r>
          </w:p>
        </w:tc>
        <w:tc>
          <w:tcPr>
            <w:tcW w:w="2448" w:type="dxa"/>
            <w:noWrap w:val="0"/>
            <w:vAlign w:val="center"/>
          </w:tcPr>
          <w:p>
            <w:pPr>
              <w:spacing w:line="576" w:lineRule="exact"/>
              <w:jc w:val="center"/>
              <w:rPr>
                <w:rFonts w:ascii="Calibri" w:hAnsi="Calibri" w:cs="Calibri"/>
                <w:kern w:val="0"/>
                <w:sz w:val="24"/>
                <w:szCs w:val="24"/>
              </w:rPr>
            </w:pPr>
            <w:r>
              <w:rPr>
                <w:rFonts w:hint="eastAsia" w:ascii="仿宋_GB2312" w:hAnsi="宋体" w:eastAsia="仿宋_GB2312" w:cs="宋体"/>
                <w:b w:val="0"/>
                <w:bCs w:val="0"/>
                <w:szCs w:val="21"/>
                <w:lang w:val="en-US" w:eastAsia="zh-CN"/>
              </w:rPr>
              <w:t>部门整体支出管理和使用基本情况</w:t>
            </w:r>
          </w:p>
        </w:tc>
        <w:tc>
          <w:tcPr>
            <w:tcW w:w="5318" w:type="dxa"/>
            <w:noWrap w:val="0"/>
            <w:vAlign w:val="center"/>
          </w:tcPr>
          <w:p>
            <w:pPr>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1、2022年部门年初预算收入566.94万元。其中财政拨款收入566.94万元（其中：年初预算396.19万元，年中追加预算170.75万元）。</w:t>
            </w:r>
          </w:p>
          <w:p>
            <w:pPr>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预算执行情况：2022年度共计预算内支出566.94万元，其中基本支出433.14万元，包括工资福利支出360.08万元，商品和服务支出45.58万元，对个人和家庭的补助支出27.48万元；项目支出133.8万元，包括信访维稳专项支出47.78万元，综合改革专项支出82.71万元，再生资源回收利用3.31万元。</w:t>
            </w:r>
          </w:p>
          <w:p>
            <w:pPr>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我社严格按照年初预算进行部门整体支出。在支出过程中，能严格遵守各项规章制度，将“三公经费”严格控制在核定数额以内。明确了经费审批权限及程序，经费预算、核算管理、资产购置与处置、财务监督等。项目性专项制定了详细实施方案和资金分配方案，严格按方案组织实施，并加强了监督。严格做到专款专用，按项目实施计划的进度情况进行资金拨付，无截留、无挪用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5" w:hRule="atLeast"/>
          <w:jc w:val="center"/>
        </w:trPr>
        <w:tc>
          <w:tcPr>
            <w:tcW w:w="1273" w:type="dxa"/>
            <w:vMerge w:val="continue"/>
            <w:noWrap w:val="0"/>
            <w:vAlign w:val="top"/>
          </w:tcPr>
          <w:p>
            <w:pPr>
              <w:spacing w:line="576" w:lineRule="exact"/>
              <w:jc w:val="center"/>
              <w:rPr>
                <w:rFonts w:ascii="仿宋_GB2312" w:hAnsi="宋体" w:eastAsia="仿宋_GB2312"/>
              </w:rPr>
            </w:pPr>
          </w:p>
        </w:tc>
        <w:tc>
          <w:tcPr>
            <w:tcW w:w="2448" w:type="dxa"/>
            <w:noWrap w:val="0"/>
            <w:vAlign w:val="center"/>
          </w:tcPr>
          <w:p>
            <w:pPr>
              <w:spacing w:line="576" w:lineRule="exact"/>
              <w:jc w:val="center"/>
              <w:rPr>
                <w:rFonts w:ascii="Calibri" w:hAnsi="Calibri" w:cs="Calibri"/>
                <w:kern w:val="0"/>
                <w:sz w:val="24"/>
                <w:szCs w:val="24"/>
              </w:rPr>
            </w:pPr>
            <w:r>
              <w:rPr>
                <w:rFonts w:hint="eastAsia" w:ascii="仿宋_GB2312" w:hAnsi="宋体" w:eastAsia="仿宋_GB2312" w:cs="宋体"/>
                <w:szCs w:val="21"/>
                <w:lang w:val="en-US" w:eastAsia="zh-CN"/>
              </w:rPr>
              <w:t>绩效目标完成情况</w:t>
            </w:r>
          </w:p>
        </w:tc>
        <w:tc>
          <w:tcPr>
            <w:tcW w:w="5318" w:type="dxa"/>
            <w:noWrap w:val="0"/>
            <w:vAlign w:val="center"/>
          </w:tcPr>
          <w:p>
            <w:pPr>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2022年,县供销合作总社在县委、县政府的坚强领导下，在上级社和有关部门精心指导下，始终坚持以习近平新时代中国特色社会主义思想为指导，以服务“三农”为宗旨，全面深化综合改革，着力构建为农服务体系、发展农产品流通、壮大社有企业、夯实基层基础，努力提高为农服务水平，更好为服务乡村振兴发挥更大的作用。</w:t>
            </w:r>
          </w:p>
          <w:p>
            <w:pPr>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（一）不断深化供销综合改革</w:t>
            </w:r>
          </w:p>
          <w:p>
            <w:pPr>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1、中路铺镇供销社社企带动、联合合作、四级贯通推进“两个到户”基层典型案例在省社改革简报2022年第8期上刊登向全省推介。</w:t>
            </w:r>
          </w:p>
          <w:p>
            <w:pPr>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以粮食生产“十代”服务为重点，不断加强村级供销社提质改造。石潭镇同庆村供销合作社推出“三统一分”粮食生产模式，为水稻生产提供“保姆式”服务，在创新农业社会化服务、促进农业发展方式转变上进行了有益探索，促进了村集体增收。“三统一分”模式即统一流转、统一农业社会化服务、统一订单、分户经营管理。石潭镇同庆村供销合作社成立于2022年5月，现有农机设备9台。今年，该合作社流转耕地720亩，通过村社大力推广农业社会化服务，积极购建“农民、村集体、供销社”为一体的融合发展平台，努力把村级供销社打造为服务农民生产生活的前沿阵地。预计到今年年底，村集体经济将增收8万元以上。</w:t>
            </w:r>
          </w:p>
          <w:p>
            <w:pPr>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3、持续推广粮食生产“十代”（代育、代耕、代插、代防、代管、代收、代烘、代储、代加、代销）服务，截至目前，全县建设有1个县级惠农服务中心，17个乡镇土地托管中心，形成了“1+N”土地托管体系，实现了乡镇土地托管中心全覆盖，土地托管面积达17.5万亩以上。</w:t>
            </w:r>
          </w:p>
          <w:p>
            <w:pPr>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（二）加强商业流通发展项目建设，完善县乡村三级流通服务网络。</w:t>
            </w:r>
          </w:p>
          <w:p>
            <w:pPr>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今年以来，县供销合作总社整合资源，不断完善以参股企业湖南银河商贸股份有限公司为龙头、县级物流配送中心为枢纽、乡镇为节点、村级为终端的县乡村三级物流体系。2022年5月，县供销合作总社成功入选全国总社2022年县域流通服务网络强县培育名单。2022年6月湖南银河商贸股份有限公司成功申报湖南省商业流通发展专项资金（第二批）湘潭县县域流通服务网络建设项目，争取省级财政扶持资金320万元，预计年底前全面完成该项目建设。</w:t>
            </w:r>
          </w:p>
          <w:p>
            <w:pPr>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（三）秸秆绿色综合利用点亮乡村振兴</w:t>
            </w:r>
          </w:p>
          <w:p>
            <w:pPr>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县供销合作总社社有企业从中联重科优价购买60台履带自走式稻草打捆机，采取“公司+村集体经济组织+专业合作组织”模式运营，村级集体经济组织只需付4万元保证金（每台机械价格12.8万元）就可以领取一台设备，自营或租赁形式进行农田秸秆回收，每年产生纯利润的30%交湘潭县供销合作总社社有企业，70%归村集体经济所有。今年，已收回秸秆3000吨，在减少秸秆焚烧带来的环境污染同时极大提升农民和村级集体经济收入。秸秆回收与利用将成为“十四五”期间我县的一个新型产业，并为乡村振兴注入新的动力！</w:t>
            </w:r>
          </w:p>
          <w:p>
            <w:pPr>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(四) 不断深化供销综合改革工作</w:t>
            </w:r>
          </w:p>
          <w:p>
            <w:pPr>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2022年根据省、市社重点工作任务安排，我社以“两个到户”工作为抓手，共创建基层社示范社1个，改造升级乡镇基层社1个；改造升级村级基层社32个，新建改造乡镇综合超市2个；改造升级农村综合服务社9个，农业社会化服务面积17.5万亩。全面完成省、市关于深化供销综合改革目标任务。</w:t>
            </w:r>
          </w:p>
          <w:p>
            <w:pPr>
              <w:jc w:val="center"/>
              <w:rPr>
                <w:rFonts w:hint="eastAsia" w:ascii="仿宋_GB2312" w:hAnsi="宋体" w:eastAsia="仿宋_GB2312" w:cs="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273" w:type="dxa"/>
            <w:vMerge w:val="restart"/>
            <w:noWrap w:val="0"/>
            <w:vAlign w:val="center"/>
          </w:tcPr>
          <w:p>
            <w:pPr>
              <w:spacing w:line="576" w:lineRule="exact"/>
              <w:jc w:val="center"/>
              <w:rPr>
                <w:rFonts w:ascii="Calibri" w:hAnsi="Calibri" w:cs="Calibri"/>
                <w:kern w:val="0"/>
                <w:sz w:val="24"/>
                <w:szCs w:val="24"/>
              </w:rPr>
            </w:pPr>
            <w:r>
              <w:rPr>
                <w:rFonts w:hint="eastAsia" w:ascii="Times New Roman" w:hAnsi="Times New Roman" w:eastAsia="仿宋_GB2312" w:cs="Times New Roman"/>
                <w:bCs/>
                <w:kern w:val="0"/>
                <w:sz w:val="32"/>
                <w:szCs w:val="32"/>
                <w:lang w:val="en-US" w:eastAsia="zh-CN"/>
              </w:rPr>
              <w:t>存在的问题分析及改进措施</w:t>
            </w:r>
          </w:p>
        </w:tc>
        <w:tc>
          <w:tcPr>
            <w:tcW w:w="2448" w:type="dxa"/>
            <w:noWrap w:val="0"/>
            <w:vAlign w:val="center"/>
          </w:tcPr>
          <w:p>
            <w:pPr>
              <w:spacing w:line="576" w:lineRule="exact"/>
              <w:jc w:val="center"/>
              <w:rPr>
                <w:rFonts w:ascii="Calibri" w:hAnsi="Calibri" w:cs="Calibri"/>
                <w:kern w:val="0"/>
                <w:sz w:val="24"/>
                <w:szCs w:val="24"/>
              </w:rPr>
            </w:pPr>
            <w:r>
              <w:rPr>
                <w:rFonts w:hint="eastAsia" w:ascii="Times New Roman" w:hAnsi="Times New Roman" w:eastAsia="仿宋_GB2312" w:cs="Times New Roman"/>
                <w:bCs/>
                <w:kern w:val="0"/>
                <w:sz w:val="32"/>
                <w:szCs w:val="32"/>
                <w:lang w:val="en-US" w:eastAsia="zh-CN"/>
              </w:rPr>
              <w:t>存在的问题</w:t>
            </w:r>
          </w:p>
        </w:tc>
        <w:tc>
          <w:tcPr>
            <w:tcW w:w="5318" w:type="dxa"/>
            <w:noWrap w:val="0"/>
            <w:vAlign w:val="center"/>
          </w:tcPr>
          <w:p>
            <w:pPr>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1、由于深化供销社综合改革工作的推进，建设基层组织体系的任务较重，县委政府安排的综合改革经费不足，导致审改工作推进较慢。</w:t>
            </w:r>
          </w:p>
          <w:p>
            <w:pPr>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2、我社除财政预算外无资金收入，每年对一支部书记村、联点共建社区等都安排资金支持，造成我社资金紧张、支付困难。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273" w:type="dxa"/>
            <w:vMerge w:val="continue"/>
            <w:noWrap w:val="0"/>
            <w:vAlign w:val="top"/>
          </w:tcPr>
          <w:p>
            <w:pPr>
              <w:spacing w:line="576" w:lineRule="exact"/>
              <w:jc w:val="center"/>
              <w:rPr>
                <w:rFonts w:ascii="Calibri" w:hAnsi="Calibri" w:cs="Calibri"/>
                <w:kern w:val="0"/>
                <w:sz w:val="24"/>
                <w:szCs w:val="24"/>
              </w:rPr>
            </w:pPr>
          </w:p>
        </w:tc>
        <w:tc>
          <w:tcPr>
            <w:tcW w:w="2448" w:type="dxa"/>
            <w:noWrap w:val="0"/>
            <w:vAlign w:val="center"/>
          </w:tcPr>
          <w:p>
            <w:pPr>
              <w:spacing w:line="576" w:lineRule="exact"/>
              <w:jc w:val="center"/>
              <w:rPr>
                <w:rFonts w:ascii="Calibri" w:hAnsi="Calibri" w:cs="Calibri"/>
                <w:kern w:val="0"/>
                <w:sz w:val="24"/>
                <w:szCs w:val="24"/>
              </w:rPr>
            </w:pPr>
            <w:r>
              <w:rPr>
                <w:rFonts w:hint="eastAsia" w:ascii="Times New Roman" w:hAnsi="Times New Roman" w:eastAsia="仿宋_GB2312" w:cs="Times New Roman"/>
                <w:bCs/>
                <w:kern w:val="0"/>
                <w:sz w:val="32"/>
                <w:szCs w:val="32"/>
                <w:lang w:val="en-US" w:eastAsia="zh-CN"/>
              </w:rPr>
              <w:t>改进措施</w:t>
            </w:r>
          </w:p>
        </w:tc>
        <w:tc>
          <w:tcPr>
            <w:tcW w:w="5318" w:type="dxa"/>
            <w:noWrap w:val="0"/>
            <w:vAlign w:val="center"/>
          </w:tcPr>
          <w:p>
            <w:pPr>
              <w:jc w:val="left"/>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1、加强专项资金监管，建立或完善专项资金使用的检查、评价、考核机制。建立健全长效监督、考核机制，包括从专项资金的设立、申报到资金的分配、拨付、日常监督等，并进一步完善专项资金的绩效考评和跟踪问效机制，要将专项资金的审批分配、监督检查与绩效评价结合起来，建立事前审核、事中检查、事后评价的全过程监督控制体系。</w:t>
            </w:r>
          </w:p>
          <w:p>
            <w:pPr>
              <w:jc w:val="center"/>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2、建议预算对综合改革、精准扶贫等刚性支出上予以加大资金安排。同时，为不断发展壮大社有企业，提升供销社为农服务质量，请求县委政府对县供销社社有企业给予资金和项目扶持。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273" w:type="dxa"/>
            <w:vMerge w:val="continue"/>
            <w:noWrap w:val="0"/>
            <w:vAlign w:val="top"/>
          </w:tcPr>
          <w:p>
            <w:pPr>
              <w:spacing w:line="576" w:lineRule="exact"/>
              <w:jc w:val="center"/>
              <w:rPr>
                <w:rFonts w:ascii="仿宋_GB2312" w:hAnsi="宋体" w:eastAsia="仿宋_GB2312"/>
              </w:rPr>
            </w:pPr>
          </w:p>
        </w:tc>
        <w:tc>
          <w:tcPr>
            <w:tcW w:w="2448" w:type="dxa"/>
            <w:noWrap w:val="0"/>
            <w:vAlign w:val="center"/>
          </w:tcPr>
          <w:p>
            <w:pPr>
              <w:spacing w:line="576" w:lineRule="exact"/>
              <w:jc w:val="center"/>
              <w:rPr>
                <w:rFonts w:ascii="Calibri" w:hAnsi="Calibri" w:cs="Calibri"/>
                <w:kern w:val="0"/>
                <w:sz w:val="24"/>
                <w:szCs w:val="24"/>
              </w:rPr>
            </w:pPr>
            <w:r>
              <w:rPr>
                <w:rFonts w:hint="eastAsia" w:ascii="Times New Roman" w:hAnsi="Times New Roman" w:eastAsia="仿宋_GB2312" w:cs="Times New Roman"/>
                <w:bCs/>
                <w:kern w:val="0"/>
                <w:sz w:val="32"/>
                <w:szCs w:val="32"/>
                <w:lang w:val="en-US" w:eastAsia="zh-CN"/>
              </w:rPr>
              <w:t>其他需要说明问题</w:t>
            </w:r>
          </w:p>
        </w:tc>
        <w:tc>
          <w:tcPr>
            <w:tcW w:w="5318" w:type="dxa"/>
            <w:noWrap w:val="0"/>
            <w:vAlign w:val="center"/>
          </w:tcPr>
          <w:p>
            <w:pPr>
              <w:jc w:val="center"/>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无</w:t>
            </w:r>
          </w:p>
        </w:tc>
      </w:tr>
    </w:tbl>
    <w:p/>
    <w:p/>
    <w:sectPr>
      <w:pgSz w:w="11906" w:h="16838"/>
      <w:pgMar w:top="1440" w:right="1463" w:bottom="1440" w:left="1576" w:header="851" w:footer="992" w:gutter="0"/>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WFlYTM5ZWVlYmNmYjc1MGQ3MTQ1ZDkwNTIzYWUxZmYifQ=="/>
  </w:docVars>
  <w:rsids>
    <w:rsidRoot w:val="00E87EBF"/>
    <w:rsid w:val="001F7725"/>
    <w:rsid w:val="00434514"/>
    <w:rsid w:val="00462E95"/>
    <w:rsid w:val="00791B6E"/>
    <w:rsid w:val="007C7B2E"/>
    <w:rsid w:val="008A3E08"/>
    <w:rsid w:val="00956876"/>
    <w:rsid w:val="00AC6D8B"/>
    <w:rsid w:val="00E87EBF"/>
    <w:rsid w:val="00E9736D"/>
    <w:rsid w:val="00F55407"/>
    <w:rsid w:val="00F93723"/>
    <w:rsid w:val="02B874BF"/>
    <w:rsid w:val="036B0606"/>
    <w:rsid w:val="04512E01"/>
    <w:rsid w:val="06654F4E"/>
    <w:rsid w:val="0688008B"/>
    <w:rsid w:val="0A3055D9"/>
    <w:rsid w:val="0A727C0D"/>
    <w:rsid w:val="0B580B6B"/>
    <w:rsid w:val="0BCD2ED9"/>
    <w:rsid w:val="0DDC547A"/>
    <w:rsid w:val="0E492418"/>
    <w:rsid w:val="104E6C19"/>
    <w:rsid w:val="128B56B0"/>
    <w:rsid w:val="13FF7C29"/>
    <w:rsid w:val="14D50451"/>
    <w:rsid w:val="15224B4F"/>
    <w:rsid w:val="15EB3F0E"/>
    <w:rsid w:val="16A53F91"/>
    <w:rsid w:val="193B6DB4"/>
    <w:rsid w:val="1AB154C6"/>
    <w:rsid w:val="1AF87223"/>
    <w:rsid w:val="1B8A302B"/>
    <w:rsid w:val="1CE75FE5"/>
    <w:rsid w:val="1EB34116"/>
    <w:rsid w:val="221D3573"/>
    <w:rsid w:val="223C3864"/>
    <w:rsid w:val="25E67B98"/>
    <w:rsid w:val="29C9570A"/>
    <w:rsid w:val="2EA0218A"/>
    <w:rsid w:val="2FA11096"/>
    <w:rsid w:val="321D7F41"/>
    <w:rsid w:val="32F02A69"/>
    <w:rsid w:val="32F55F25"/>
    <w:rsid w:val="3306181C"/>
    <w:rsid w:val="333C6840"/>
    <w:rsid w:val="335B3F58"/>
    <w:rsid w:val="33C52ADE"/>
    <w:rsid w:val="35EA71DB"/>
    <w:rsid w:val="399D0291"/>
    <w:rsid w:val="39FF4E76"/>
    <w:rsid w:val="40080DC7"/>
    <w:rsid w:val="425D5445"/>
    <w:rsid w:val="43036702"/>
    <w:rsid w:val="432C3F9B"/>
    <w:rsid w:val="48424599"/>
    <w:rsid w:val="49FE42C5"/>
    <w:rsid w:val="4A9435A0"/>
    <w:rsid w:val="4C422342"/>
    <w:rsid w:val="4DA57A66"/>
    <w:rsid w:val="50B6603A"/>
    <w:rsid w:val="52C25DCC"/>
    <w:rsid w:val="54F669C5"/>
    <w:rsid w:val="5DB939FD"/>
    <w:rsid w:val="5E01275F"/>
    <w:rsid w:val="62117CE3"/>
    <w:rsid w:val="64654755"/>
    <w:rsid w:val="66FD60F9"/>
    <w:rsid w:val="68A96A9F"/>
    <w:rsid w:val="6ADB429A"/>
    <w:rsid w:val="6D4E27F0"/>
    <w:rsid w:val="6DAB662D"/>
    <w:rsid w:val="6E6C32C9"/>
    <w:rsid w:val="71D268BE"/>
    <w:rsid w:val="725B2AFF"/>
    <w:rsid w:val="7267751B"/>
    <w:rsid w:val="72DE49FB"/>
    <w:rsid w:val="73EA7EB8"/>
    <w:rsid w:val="7BCC5ABB"/>
    <w:rsid w:val="7C551BCE"/>
    <w:rsid w:val="7CE226A3"/>
    <w:rsid w:val="7D68026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3"/>
    <w:qFormat/>
    <w:uiPriority w:val="99"/>
    <w:pPr>
      <w:snapToGrid w:val="0"/>
      <w:jc w:val="left"/>
    </w:pPr>
    <w:rPr>
      <w:sz w:val="18"/>
      <w:szCs w:val="18"/>
    </w:rPr>
  </w:style>
  <w:style w:type="paragraph" w:customStyle="1" w:styleId="3">
    <w:name w:val="UserStyle_2"/>
    <w:basedOn w:val="1"/>
    <w:next w:val="1"/>
    <w:qFormat/>
    <w:uiPriority w:val="0"/>
    <w:pPr>
      <w:spacing w:line="240" w:lineRule="auto"/>
      <w:ind w:left="1680"/>
      <w:jc w:val="both"/>
    </w:pPr>
    <w:rPr>
      <w:rFonts w:ascii="Calibri" w:hAnsi="Calibri" w:eastAsia="宋体"/>
      <w:kern w:val="2"/>
      <w:sz w:val="21"/>
      <w:szCs w:val="21"/>
      <w:lang w:val="en-US" w:eastAsia="zh-CN" w:bidi="ar-SA"/>
    </w:rPr>
  </w:style>
  <w:style w:type="paragraph" w:styleId="4">
    <w:name w:val="Body Text Indent"/>
    <w:basedOn w:val="1"/>
    <w:qFormat/>
    <w:uiPriority w:val="0"/>
    <w:pPr>
      <w:spacing w:after="120"/>
      <w:ind w:left="420" w:leftChars="200"/>
    </w:pPr>
  </w:style>
  <w:style w:type="paragraph" w:styleId="5">
    <w:name w:val="Body Text First Indent 2"/>
    <w:basedOn w:val="4"/>
    <w:qFormat/>
    <w:uiPriority w:val="0"/>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Pages>8</Pages>
  <Words>2446</Words>
  <Characters>2564</Characters>
  <Lines>0</Lines>
  <Paragraphs>0</Paragraphs>
  <TotalTime>6</TotalTime>
  <ScaleCrop>false</ScaleCrop>
  <LinksUpToDate>false</LinksUpToDate>
  <CharactersWithSpaces>2566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王嘉雨</cp:lastModifiedBy>
  <cp:lastPrinted>2019-08-23T08:44:00Z</cp:lastPrinted>
  <dcterms:modified xsi:type="dcterms:W3CDTF">2023-05-21T08:28:05Z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EDD8FC54FB6B42D1A0CEFDFD8CB54620</vt:lpwstr>
  </property>
</Properties>
</file>