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9C4" w:rsidRPr="00232DB2" w:rsidRDefault="007369C4" w:rsidP="00232DB2">
      <w:pPr>
        <w:widowControl/>
        <w:spacing w:line="560" w:lineRule="exact"/>
        <w:jc w:val="center"/>
        <w:rPr>
          <w:rFonts w:asciiTheme="majorEastAsia" w:eastAsiaTheme="majorEastAsia" w:hAnsiTheme="majorEastAsia" w:cs="宋体"/>
          <w:color w:val="000000" w:themeColor="text1"/>
          <w:kern w:val="0"/>
          <w:sz w:val="44"/>
          <w:szCs w:val="44"/>
        </w:rPr>
      </w:pPr>
      <w:r w:rsidRPr="00232DB2"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15"/>
          <w:kern w:val="0"/>
          <w:sz w:val="44"/>
          <w:szCs w:val="44"/>
        </w:rPr>
        <w:t>水稻</w:t>
      </w:r>
      <w:proofErr w:type="gramStart"/>
      <w:r w:rsidRPr="00232DB2"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15"/>
          <w:kern w:val="0"/>
          <w:sz w:val="44"/>
          <w:szCs w:val="44"/>
        </w:rPr>
        <w:t>有序机</w:t>
      </w:r>
      <w:proofErr w:type="gramEnd"/>
      <w:r w:rsidRPr="00232DB2"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15"/>
          <w:kern w:val="0"/>
          <w:sz w:val="44"/>
          <w:szCs w:val="44"/>
        </w:rPr>
        <w:t>抛高产高效栽培技术</w:t>
      </w:r>
    </w:p>
    <w:p w:rsidR="00FB6379" w:rsidRPr="00FB6379" w:rsidRDefault="00FB6379" w:rsidP="00FB6379">
      <w:pPr>
        <w:widowControl/>
        <w:spacing w:line="560" w:lineRule="exact"/>
        <w:ind w:firstLineChars="300" w:firstLine="960"/>
        <w:jc w:val="center"/>
        <w:rPr>
          <w:rFonts w:ascii="仿宋_GB2312" w:eastAsia="仿宋_GB2312" w:hAnsi="宋体" w:cs="宋体"/>
          <w:bCs/>
          <w:color w:val="000000" w:themeColor="text1"/>
          <w:kern w:val="0"/>
          <w:sz w:val="32"/>
          <w:szCs w:val="32"/>
        </w:rPr>
      </w:pPr>
      <w:r w:rsidRPr="00FB6379">
        <w:rPr>
          <w:rFonts w:ascii="仿宋_GB2312" w:eastAsia="仿宋_GB2312" w:hAnsi="宋体" w:cs="宋体" w:hint="eastAsia"/>
          <w:bCs/>
          <w:color w:val="000000" w:themeColor="text1"/>
          <w:kern w:val="0"/>
          <w:sz w:val="32"/>
          <w:szCs w:val="32"/>
        </w:rPr>
        <w:t>湘潭县农业农村局编印</w:t>
      </w:r>
    </w:p>
    <w:p w:rsidR="00FB6379" w:rsidRPr="00FB6379" w:rsidRDefault="00FB6379" w:rsidP="00FB6379">
      <w:pPr>
        <w:widowControl/>
        <w:spacing w:line="560" w:lineRule="exact"/>
        <w:ind w:firstLineChars="300" w:firstLine="960"/>
        <w:jc w:val="center"/>
        <w:rPr>
          <w:rFonts w:ascii="仿宋_GB2312" w:eastAsia="仿宋_GB2312" w:hAnsi="宋体" w:cs="宋体"/>
          <w:bCs/>
          <w:color w:val="000000" w:themeColor="text1"/>
          <w:kern w:val="0"/>
          <w:sz w:val="32"/>
          <w:szCs w:val="32"/>
        </w:rPr>
      </w:pPr>
      <w:r w:rsidRPr="00FB6379">
        <w:rPr>
          <w:rFonts w:ascii="仿宋_GB2312" w:eastAsia="仿宋_GB2312" w:hAnsi="宋体" w:cs="宋体" w:hint="eastAsia"/>
          <w:bCs/>
          <w:color w:val="000000" w:themeColor="text1"/>
          <w:kern w:val="0"/>
          <w:sz w:val="32"/>
          <w:szCs w:val="32"/>
        </w:rPr>
        <w:t>202</w:t>
      </w:r>
      <w:r w:rsidR="00B34BE8">
        <w:rPr>
          <w:rFonts w:ascii="仿宋_GB2312" w:eastAsia="仿宋_GB2312" w:hAnsi="宋体" w:cs="宋体" w:hint="eastAsia"/>
          <w:bCs/>
          <w:color w:val="000000" w:themeColor="text1"/>
          <w:kern w:val="0"/>
          <w:sz w:val="32"/>
          <w:szCs w:val="32"/>
        </w:rPr>
        <w:t>3</w:t>
      </w:r>
      <w:r w:rsidRPr="00FB6379">
        <w:rPr>
          <w:rFonts w:ascii="仿宋_GB2312" w:eastAsia="仿宋_GB2312" w:hAnsi="宋体" w:cs="宋体" w:hint="eastAsia"/>
          <w:bCs/>
          <w:color w:val="000000" w:themeColor="text1"/>
          <w:kern w:val="0"/>
          <w:sz w:val="32"/>
          <w:szCs w:val="32"/>
        </w:rPr>
        <w:t>年3月</w:t>
      </w:r>
    </w:p>
    <w:p w:rsidR="00733CC4" w:rsidRPr="00232DB2" w:rsidRDefault="007369C4" w:rsidP="00232DB2">
      <w:pPr>
        <w:widowControl/>
        <w:spacing w:line="560" w:lineRule="exact"/>
        <w:ind w:firstLineChars="300" w:firstLine="964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32"/>
          <w:szCs w:val="32"/>
        </w:rPr>
        <w:t>一、技术要点</w:t>
      </w:r>
    </w:p>
    <w:p w:rsidR="0007763D" w:rsidRPr="00232DB2" w:rsidRDefault="007369C4" w:rsidP="00232DB2">
      <w:pPr>
        <w:widowControl/>
        <w:spacing w:line="560" w:lineRule="exact"/>
        <w:ind w:firstLineChars="250" w:firstLine="878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b/>
          <w:bCs/>
          <w:color w:val="000000" w:themeColor="text1"/>
          <w:spacing w:val="15"/>
          <w:kern w:val="0"/>
          <w:sz w:val="32"/>
          <w:szCs w:val="32"/>
        </w:rPr>
        <w:t>（一）选好种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水稻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有序机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抛栽培推荐选用抗倒性较强的品种。同时，结合各地生态特点和用户需求，选择生育期适宜、抗逆性强、丰产性与稳产性好、品质优等综合性状优良的通过审定的水稻品种。</w:t>
      </w:r>
    </w:p>
    <w:p w:rsidR="00232DB2" w:rsidRPr="00232DB2" w:rsidRDefault="007369C4" w:rsidP="00232DB2">
      <w:pPr>
        <w:widowControl/>
        <w:spacing w:line="560" w:lineRule="exact"/>
        <w:ind w:firstLineChars="250" w:firstLine="878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b/>
          <w:bCs/>
          <w:color w:val="000000" w:themeColor="text1"/>
          <w:spacing w:val="15"/>
          <w:kern w:val="0"/>
          <w:sz w:val="32"/>
          <w:szCs w:val="32"/>
        </w:rPr>
        <w:t>（二）育好苗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秧苗要求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宜机适抛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，即株高适宜（6</w:t>
      </w:r>
      <w:r w:rsidR="00733C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20cm）、成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蔸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不散、空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蔸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率低，同时盘底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不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粘土、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蔸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间不串根。</w:t>
      </w:r>
    </w:p>
    <w:p w:rsidR="00232DB2" w:rsidRPr="00232DB2" w:rsidRDefault="00733C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1.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用种量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="007369C4"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用种量根据品种类型而定：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其中早稻常规种4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5千克/亩，杂交种2.5千克/亩左右；晚稻常规种3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4千克/亩，杂交种2千克/亩左右；一季稻常规种3千克/亩左右，杂交种1.5千克/亩左右。播种要求早稻常规稻6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8粒/穴，杂交稻3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4粒每穴；中晚稻常规稻4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6粒/穴，杂交稻2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3粒/穴。</w:t>
      </w:r>
      <w:r w:rsidR="007369C4"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种子要求：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种子不含空</w:t>
      </w:r>
      <w:proofErr w:type="gramStart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秕</w:t>
      </w:r>
      <w:proofErr w:type="gramEnd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粒与杂质、无芒、均匀，否则要清选；杂交稻种子发芽率达90%以上，若达不到需进行精选。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2.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种子适播处理</w:t>
      </w:r>
      <w:proofErr w:type="gramEnd"/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种子精选：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在浸种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前采用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水选、风选对种子进行精选，提高种子的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适播性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及发芽出苗率。有条件的建议采用重力选机进行精选。</w:t>
      </w:r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种子消毒：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采用种子包衣（浸种前）、杀菌剂拌种（种子破胸后）或浸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lastRenderedPageBreak/>
        <w:t>种对种子进行消毒。</w:t>
      </w:r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浸种催芽：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水温30℃左右浸种至谷壳透明、米粒易折断、腹白可见，一般常规稻早稻浸种2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3天，中晚稻1天左右，杂交稻浸种时间比常规稻减半。中晚稻建议采用0.003%多效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唑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溶液浸种8h或0.004%烯效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唑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溶液浸种12h以控制苗高。浸种后采用早稻采用催芽机温水破胸或高温破胸，中晚稻利用自然温度破胸，当种谷破胸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露白率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达85%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90%晾干水分待播。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3.播种与接地摆盘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采用秧盘播种流水线播种，要先按要求配制好钵土（底土和盖土）；播种后在大棚、场地或秧田育秧，或采用秧田直接摆盘播种泥浆育秧。摆盘前应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在秧厢上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铺设隔泥层/切根网（建议使用无纺布、编织布或细纱窗网），摆盘应良好接地。大批量生产时应分批播育秧，按100亩左右一批，每批间隔3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4天，最后一批播种不晚于迟播临界期。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4.秧田分阶段管理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proofErr w:type="gramStart"/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出苗齐苗阶段</w:t>
      </w:r>
      <w:proofErr w:type="gramEnd"/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：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保水保温，促出苗齐苗。秧田或旱田摆盘后灌一次水（1天），但水不漫过秧盘；大棚或设施育秧，充分喷淋水，保持床土湿润；温度控制在35℃以内。</w:t>
      </w:r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秧苗生长阶段：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适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温控水，以控水、健根、壮苗为主。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齐苗后控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水，只要不卷叶，缺水补水；一叶一心期叶面喷施多效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唑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1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2次；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齐苗到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二叶期前，使生长速度适宜，温度控制在25℃左右；二叶期到三叶期：控制在20℃左右。当发现秧苗发黄，结合补水看苗施肥。</w:t>
      </w:r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炼苗、</w:t>
      </w:r>
      <w:proofErr w:type="gramStart"/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起秧阶段</w:t>
      </w:r>
      <w:proofErr w:type="gramEnd"/>
      <w:r w:rsidRPr="00232DB2">
        <w:rPr>
          <w:rFonts w:ascii="仿宋_GB2312" w:eastAsia="仿宋_GB2312" w:hAnsi="宋体" w:cs="宋体" w:hint="eastAsia"/>
          <w:b/>
          <w:color w:val="000000" w:themeColor="text1"/>
          <w:spacing w:val="15"/>
          <w:kern w:val="0"/>
          <w:sz w:val="32"/>
          <w:szCs w:val="32"/>
        </w:rPr>
        <w:t>：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三叶期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lastRenderedPageBreak/>
        <w:t>后，逐渐通风炼苗，使秧苗尽快适应外界环境条件；抛秧前2</w:t>
      </w:r>
      <w:r w:rsidR="0007763D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3天湿润施送嫁肥送嫁药；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起秧前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灌跑马水。</w:t>
      </w:r>
    </w:p>
    <w:p w:rsidR="00232DB2" w:rsidRPr="00232DB2" w:rsidRDefault="007369C4" w:rsidP="00232DB2">
      <w:pPr>
        <w:widowControl/>
        <w:spacing w:line="560" w:lineRule="exact"/>
        <w:ind w:firstLineChars="250" w:firstLine="878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b/>
          <w:bCs/>
          <w:color w:val="000000" w:themeColor="text1"/>
          <w:spacing w:val="15"/>
          <w:kern w:val="0"/>
          <w:sz w:val="32"/>
          <w:szCs w:val="32"/>
        </w:rPr>
        <w:t>（三）</w:t>
      </w:r>
      <w:proofErr w:type="gramStart"/>
      <w:r w:rsidRPr="00232DB2">
        <w:rPr>
          <w:rFonts w:ascii="仿宋_GB2312" w:eastAsia="仿宋_GB2312" w:hAnsi="宋体" w:cs="宋体" w:hint="eastAsia"/>
          <w:b/>
          <w:bCs/>
          <w:color w:val="000000" w:themeColor="text1"/>
          <w:spacing w:val="15"/>
          <w:kern w:val="0"/>
          <w:sz w:val="32"/>
          <w:szCs w:val="32"/>
        </w:rPr>
        <w:t>抛好秧</w:t>
      </w:r>
      <w:proofErr w:type="gramEnd"/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1.大田选择与耕整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选择适宜机械化操作的稻田，于抛秧前0.5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3d采用旋耕机或耕整机整地，要求旋耕深度10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15cm，平整后的田块高低相差不超过5cm；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平田前根据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施肥要求施好基肥。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2.抛栽密度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早稻2.2万穴/667m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左右（55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60盘），双季晚稻1.9万穴/m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左右（45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55盘），中稻、一季晚稻和再生稻1.7万穴/m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左右（35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45盘）；如漏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蔸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率超过10%，需适当增加抛栽密度。</w:t>
      </w:r>
    </w:p>
    <w:p w:rsidR="00232DB2" w:rsidRPr="00232DB2" w:rsidRDefault="00232DB2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3.</w:t>
      </w:r>
      <w:proofErr w:type="gramStart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有序机</w:t>
      </w:r>
      <w:proofErr w:type="gramEnd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抛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使用水稻有序抛秧机进行抛栽，秧苗株高控制在20cm以下。抛秧时大田保持无水湿润或不超过3cm的浅水层。</w:t>
      </w:r>
    </w:p>
    <w:p w:rsidR="00232DB2" w:rsidRPr="00232DB2" w:rsidRDefault="007369C4" w:rsidP="00232DB2">
      <w:pPr>
        <w:widowControl/>
        <w:spacing w:line="560" w:lineRule="exact"/>
        <w:ind w:firstLineChars="250" w:firstLine="878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b/>
          <w:bCs/>
          <w:color w:val="000000" w:themeColor="text1"/>
          <w:spacing w:val="15"/>
          <w:kern w:val="0"/>
          <w:sz w:val="32"/>
          <w:szCs w:val="32"/>
        </w:rPr>
        <w:t>（四）管好</w:t>
      </w:r>
      <w:proofErr w:type="gramStart"/>
      <w:r w:rsidRPr="00232DB2">
        <w:rPr>
          <w:rFonts w:ascii="仿宋_GB2312" w:eastAsia="仿宋_GB2312" w:hAnsi="宋体" w:cs="宋体" w:hint="eastAsia"/>
          <w:b/>
          <w:bCs/>
          <w:color w:val="000000" w:themeColor="text1"/>
          <w:spacing w:val="15"/>
          <w:kern w:val="0"/>
          <w:sz w:val="32"/>
          <w:szCs w:val="32"/>
        </w:rPr>
        <w:t>禾</w:t>
      </w:r>
      <w:proofErr w:type="gramEnd"/>
    </w:p>
    <w:p w:rsidR="00232DB2" w:rsidRPr="00232DB2" w:rsidRDefault="00232DB2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1.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养分管理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氮肥（N）用量双季早、晚稻8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11kg/667m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，分基肥(50%)、</w:t>
      </w:r>
      <w:proofErr w:type="gramStart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蘖</w:t>
      </w:r>
      <w:proofErr w:type="gramEnd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肥(30%)和穗肥(20%)3次施用；一季晚稻和再生稻头季13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15kg/667m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，分基肥(50%)、</w:t>
      </w:r>
      <w:proofErr w:type="gramStart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蘖</w:t>
      </w:r>
      <w:proofErr w:type="gramEnd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肥(20%)和穗肥(30%)3次施用。磷肥(</w:t>
      </w:r>
      <w:r w:rsidR="007369C4" w:rsidRPr="00232DB2">
        <w:rPr>
          <w:rFonts w:ascii="仿宋_GB2312" w:eastAsia="仿宋_GB2312" w:hAnsi="Arial" w:cs="Arial" w:hint="eastAsia"/>
          <w:color w:val="000000" w:themeColor="text1"/>
          <w:spacing w:val="15"/>
          <w:kern w:val="0"/>
          <w:sz w:val="32"/>
          <w:szCs w:val="32"/>
        </w:rPr>
        <w:t>P</w:t>
      </w:r>
      <w:r w:rsidR="007369C4" w:rsidRPr="00232DB2">
        <w:rPr>
          <w:rFonts w:ascii="仿宋_GB2312" w:eastAsia="仿宋_GB2312" w:hAnsi="Arial" w:cs="Arial" w:hint="eastAsia"/>
          <w:color w:val="000000" w:themeColor="text1"/>
          <w:spacing w:val="15"/>
          <w:kern w:val="0"/>
          <w:sz w:val="32"/>
          <w:szCs w:val="32"/>
          <w:vertAlign w:val="subscript"/>
        </w:rPr>
        <w:t>2</w:t>
      </w:r>
      <w:r w:rsidR="007369C4" w:rsidRPr="00232DB2">
        <w:rPr>
          <w:rFonts w:ascii="仿宋_GB2312" w:eastAsia="仿宋_GB2312" w:hAnsi="Arial" w:cs="Arial" w:hint="eastAsia"/>
          <w:color w:val="000000" w:themeColor="text1"/>
          <w:spacing w:val="15"/>
          <w:kern w:val="0"/>
          <w:sz w:val="32"/>
          <w:szCs w:val="32"/>
        </w:rPr>
        <w:t>O</w:t>
      </w:r>
      <w:r w:rsidR="007369C4" w:rsidRPr="00232DB2">
        <w:rPr>
          <w:rFonts w:ascii="仿宋_GB2312" w:eastAsia="仿宋_GB2312" w:hAnsi="Arial" w:cs="Arial" w:hint="eastAsia"/>
          <w:color w:val="000000" w:themeColor="text1"/>
          <w:spacing w:val="15"/>
          <w:kern w:val="0"/>
          <w:sz w:val="32"/>
          <w:szCs w:val="32"/>
          <w:vertAlign w:val="subscript"/>
        </w:rPr>
        <w:t>5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)用量早稻和双季晚稻为3.2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4.0 kg/667m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，中稻和再生稻为5.2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6.0 kg/(667m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)，全部作基肥施用。钾肥(</w:t>
      </w:r>
      <w:r w:rsidR="007369C4" w:rsidRPr="00232DB2">
        <w:rPr>
          <w:rFonts w:ascii="仿宋_GB2312" w:eastAsia="仿宋_GB2312" w:hAnsi="Arial" w:cs="Arial" w:hint="eastAsia"/>
          <w:color w:val="000000" w:themeColor="text1"/>
          <w:spacing w:val="15"/>
          <w:kern w:val="0"/>
          <w:sz w:val="32"/>
          <w:szCs w:val="32"/>
        </w:rPr>
        <w:t>K</w:t>
      </w:r>
      <w:r w:rsidR="007369C4" w:rsidRPr="00232DB2">
        <w:rPr>
          <w:rFonts w:ascii="仿宋_GB2312" w:eastAsia="仿宋_GB2312" w:hAnsi="Arial" w:cs="Arial" w:hint="eastAsia"/>
          <w:color w:val="000000" w:themeColor="text1"/>
          <w:spacing w:val="15"/>
          <w:kern w:val="0"/>
          <w:sz w:val="32"/>
          <w:szCs w:val="32"/>
          <w:vertAlign w:val="subscript"/>
        </w:rPr>
        <w:t>2</w:t>
      </w:r>
      <w:r w:rsidR="007369C4" w:rsidRPr="00232DB2">
        <w:rPr>
          <w:rFonts w:ascii="仿宋_GB2312" w:eastAsia="仿宋_GB2312" w:hAnsi="Arial" w:cs="Arial" w:hint="eastAsia"/>
          <w:color w:val="000000" w:themeColor="text1"/>
          <w:spacing w:val="15"/>
          <w:kern w:val="0"/>
          <w:sz w:val="32"/>
          <w:szCs w:val="32"/>
        </w:rPr>
        <w:t>O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)用量早稻和双季晚稻为5.6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7.7 kg/667m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，中稻和一季晚稻为9.1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10.5 kg/667m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  <w:vertAlign w:val="superscript"/>
        </w:rPr>
        <w:t>2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，分基肥(50%)和穗肥(50%)2次施用。</w:t>
      </w:r>
    </w:p>
    <w:p w:rsidR="00232DB2" w:rsidRPr="00232DB2" w:rsidRDefault="00232DB2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lastRenderedPageBreak/>
        <w:t>2.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水分管理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早稻抛秧后2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-</w:t>
      </w:r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3d</w:t>
      </w:r>
      <w:proofErr w:type="gramStart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不</w:t>
      </w:r>
      <w:proofErr w:type="gramEnd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灌水以利于立苗，中晚稻抛秧1d后应及时灌水。水分管理应注重少水促根，提高抗倒性，分蘖期田间以浅水和湿润为主，当苗数达到预计</w:t>
      </w:r>
      <w:proofErr w:type="gramStart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有效穗</w:t>
      </w:r>
      <w:proofErr w:type="gramEnd"/>
      <w:r w:rsidR="007369C4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的85%时断水搁田，并转入晒田，一周后复水，保持干湿交替灌溉；孕穗至抽穗保持浅水；抽穗后保持干湿交替灌溉；成熟前一周断水。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3.病虫害防控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按照当地植保部门病虫情报，确定防治田块和防治适期，对病虫害进行防治。推荐使用翻耕灌深水灭蛹、性信息激素全程诱杀、种植诱杀和天敌功能植物、稻田养鸭等绿色防控技术。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4. 适期收获</w:t>
      </w:r>
      <w:r w:rsidR="00232DB2"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。</w:t>
      </w: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当90%以上的稻谷成熟时，选晴天采用收割机及时收割脱粒。</w:t>
      </w:r>
    </w:p>
    <w:p w:rsidR="00232DB2" w:rsidRPr="00232DB2" w:rsidRDefault="007369C4" w:rsidP="00232DB2">
      <w:pPr>
        <w:widowControl/>
        <w:spacing w:line="560" w:lineRule="exact"/>
        <w:ind w:firstLineChars="250" w:firstLine="803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32"/>
          <w:szCs w:val="32"/>
        </w:rPr>
        <w:t>二、适宜区域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适宜于全国可以进行机械化栽培的水稻产区，尤其适合于季节紧张的双季稻、再生稻和一季稻（虾稻）生产。</w:t>
      </w:r>
    </w:p>
    <w:p w:rsidR="00232DB2" w:rsidRPr="00232DB2" w:rsidRDefault="007369C4" w:rsidP="00232DB2">
      <w:pPr>
        <w:widowControl/>
        <w:spacing w:line="560" w:lineRule="exact"/>
        <w:ind w:firstLineChars="250" w:firstLine="878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b/>
          <w:bCs/>
          <w:color w:val="000000" w:themeColor="text1"/>
          <w:spacing w:val="15"/>
          <w:kern w:val="0"/>
          <w:sz w:val="32"/>
          <w:szCs w:val="32"/>
        </w:rPr>
        <w:t>三、注意事项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水稻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有序机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抛高产高效栽培技术的运用应切合当地水稻生产特点，因地制宜落实栽培方案；同时培育</w:t>
      </w:r>
      <w:proofErr w:type="gramStart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宜机适抛</w:t>
      </w:r>
      <w:proofErr w:type="gramEnd"/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秧苗是重中之重，应切实做好水稻育秧工作。</w:t>
      </w:r>
    </w:p>
    <w:p w:rsidR="00232DB2" w:rsidRPr="00232DB2" w:rsidRDefault="007369C4" w:rsidP="00232DB2">
      <w:pPr>
        <w:widowControl/>
        <w:spacing w:line="560" w:lineRule="exact"/>
        <w:ind w:firstLineChars="250" w:firstLine="803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b/>
          <w:bCs/>
          <w:color w:val="000000" w:themeColor="text1"/>
          <w:kern w:val="0"/>
          <w:sz w:val="32"/>
          <w:szCs w:val="32"/>
        </w:rPr>
        <w:t>四、技术依托单位</w:t>
      </w:r>
    </w:p>
    <w:p w:rsidR="00232DB2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湖南农业大学</w:t>
      </w:r>
    </w:p>
    <w:p w:rsidR="007369C4" w:rsidRPr="00232DB2" w:rsidRDefault="007369C4" w:rsidP="00232DB2">
      <w:pPr>
        <w:widowControl/>
        <w:spacing w:line="560" w:lineRule="exact"/>
        <w:ind w:firstLineChars="250" w:firstLine="875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232DB2">
        <w:rPr>
          <w:rFonts w:ascii="仿宋_GB2312" w:eastAsia="仿宋_GB2312" w:hAnsi="宋体" w:cs="宋体" w:hint="eastAsia"/>
          <w:color w:val="000000" w:themeColor="text1"/>
          <w:spacing w:val="15"/>
          <w:kern w:val="0"/>
          <w:sz w:val="32"/>
          <w:szCs w:val="32"/>
        </w:rPr>
        <w:t>湖南中联重科智能农机有限责任公司</w:t>
      </w:r>
    </w:p>
    <w:p w:rsidR="008353F1" w:rsidRPr="00006AB1" w:rsidRDefault="008353F1" w:rsidP="00FB6379"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 w:rsidR="008353F1" w:rsidRPr="00006AB1" w:rsidSect="00232DB2">
      <w:footerReference w:type="default" r:id="rId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97D" w:rsidRDefault="0000397D" w:rsidP="00733CC4">
      <w:r>
        <w:separator/>
      </w:r>
    </w:p>
  </w:endnote>
  <w:endnote w:type="continuationSeparator" w:id="0">
    <w:p w:rsidR="0000397D" w:rsidRDefault="0000397D" w:rsidP="00733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14234"/>
      <w:docPartObj>
        <w:docPartGallery w:val="Page Numbers (Bottom of Page)"/>
        <w:docPartUnique/>
      </w:docPartObj>
    </w:sdtPr>
    <w:sdtContent>
      <w:p w:rsidR="00232DB2" w:rsidRDefault="009E2A9C">
        <w:pPr>
          <w:pStyle w:val="a7"/>
          <w:jc w:val="center"/>
        </w:pPr>
        <w:fldSimple w:instr=" PAGE   \* MERGEFORMAT ">
          <w:r w:rsidR="00B34BE8" w:rsidRPr="00B34BE8">
            <w:rPr>
              <w:noProof/>
              <w:lang w:val="zh-CN"/>
            </w:rPr>
            <w:t>2</w:t>
          </w:r>
        </w:fldSimple>
      </w:p>
    </w:sdtContent>
  </w:sdt>
  <w:p w:rsidR="00232DB2" w:rsidRDefault="00232DB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97D" w:rsidRDefault="0000397D" w:rsidP="00733CC4">
      <w:r>
        <w:separator/>
      </w:r>
    </w:p>
  </w:footnote>
  <w:footnote w:type="continuationSeparator" w:id="0">
    <w:p w:rsidR="0000397D" w:rsidRDefault="0000397D" w:rsidP="00733C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69C4"/>
    <w:rsid w:val="0000397D"/>
    <w:rsid w:val="0007763D"/>
    <w:rsid w:val="00110472"/>
    <w:rsid w:val="00114097"/>
    <w:rsid w:val="001E4732"/>
    <w:rsid w:val="00232DB2"/>
    <w:rsid w:val="002518E3"/>
    <w:rsid w:val="00542317"/>
    <w:rsid w:val="00634F91"/>
    <w:rsid w:val="00670534"/>
    <w:rsid w:val="00733CC4"/>
    <w:rsid w:val="007369C4"/>
    <w:rsid w:val="008353F1"/>
    <w:rsid w:val="00877481"/>
    <w:rsid w:val="008C42D8"/>
    <w:rsid w:val="008F56A2"/>
    <w:rsid w:val="00990FA7"/>
    <w:rsid w:val="009E2A9C"/>
    <w:rsid w:val="00A503B9"/>
    <w:rsid w:val="00B34BE8"/>
    <w:rsid w:val="00C01FAC"/>
    <w:rsid w:val="00C21874"/>
    <w:rsid w:val="00D32441"/>
    <w:rsid w:val="00D708F9"/>
    <w:rsid w:val="00D70AB9"/>
    <w:rsid w:val="00E92E37"/>
    <w:rsid w:val="00ED131E"/>
    <w:rsid w:val="00FB6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6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6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369C4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7369C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369C4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733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733CC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33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33CC4"/>
    <w:rPr>
      <w:sz w:val="18"/>
      <w:szCs w:val="18"/>
    </w:rPr>
  </w:style>
  <w:style w:type="paragraph" w:styleId="a8">
    <w:name w:val="List Paragraph"/>
    <w:basedOn w:val="a"/>
    <w:uiPriority w:val="34"/>
    <w:qFormat/>
    <w:rsid w:val="008353F1"/>
    <w:pPr>
      <w:adjustRightInd w:val="0"/>
      <w:snapToGrid w:val="0"/>
      <w:spacing w:line="579" w:lineRule="atLeast"/>
      <w:ind w:firstLineChars="200" w:firstLine="420"/>
    </w:pPr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307</Words>
  <Characters>1750</Characters>
  <Application>Microsoft Office Word</Application>
  <DocSecurity>0</DocSecurity>
  <Lines>14</Lines>
  <Paragraphs>4</Paragraphs>
  <ScaleCrop>false</ScaleCrop>
  <Company>湘潭县农业局</Company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2D605-2</dc:creator>
  <cp:lastModifiedBy>2D605-2</cp:lastModifiedBy>
  <cp:revision>11</cp:revision>
  <dcterms:created xsi:type="dcterms:W3CDTF">2022-04-08T09:18:00Z</dcterms:created>
  <dcterms:modified xsi:type="dcterms:W3CDTF">2023-05-12T07:41:00Z</dcterms:modified>
</cp:coreProperties>
</file>