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DE5" w:rsidRDefault="00A22DE5">
      <w:pPr>
        <w:pStyle w:val="Default"/>
        <w:jc w:val="both"/>
        <w:rPr>
          <w:rFonts w:cs="Times New Roman"/>
          <w:sz w:val="56"/>
          <w:szCs w:val="56"/>
        </w:rPr>
      </w:pPr>
    </w:p>
    <w:p w:rsidR="00A22DE5" w:rsidRDefault="00A22DE5">
      <w:pPr>
        <w:pStyle w:val="Default"/>
        <w:jc w:val="center"/>
        <w:rPr>
          <w:rFonts w:cs="Times New Roman"/>
          <w:sz w:val="56"/>
          <w:szCs w:val="56"/>
        </w:rPr>
      </w:pPr>
    </w:p>
    <w:p w:rsidR="00A22DE5" w:rsidRDefault="00A22DE5">
      <w:pPr>
        <w:pStyle w:val="Default"/>
        <w:jc w:val="center"/>
        <w:rPr>
          <w:sz w:val="84"/>
          <w:szCs w:val="84"/>
        </w:rPr>
      </w:pPr>
    </w:p>
    <w:p w:rsidR="00A22DE5" w:rsidRDefault="00812CF7">
      <w:pPr>
        <w:pStyle w:val="Default"/>
        <w:jc w:val="center"/>
        <w:rPr>
          <w:rFonts w:ascii="宋体" w:eastAsia="宋体" w:hAnsi="宋体" w:cs="宋体"/>
          <w:sz w:val="72"/>
          <w:szCs w:val="72"/>
        </w:rPr>
      </w:pPr>
      <w:r>
        <w:rPr>
          <w:rFonts w:ascii="宋体" w:eastAsia="宋体" w:hAnsi="宋体" w:cs="宋体" w:hint="eastAsia"/>
          <w:sz w:val="72"/>
          <w:szCs w:val="72"/>
        </w:rPr>
        <w:t>2020年度</w:t>
      </w:r>
    </w:p>
    <w:p w:rsidR="00A22DE5" w:rsidRDefault="00812CF7">
      <w:pPr>
        <w:pStyle w:val="Default"/>
        <w:jc w:val="center"/>
        <w:rPr>
          <w:rFonts w:ascii="宋体" w:eastAsia="宋体" w:hAnsi="宋体" w:cs="宋体"/>
          <w:sz w:val="72"/>
          <w:szCs w:val="72"/>
        </w:rPr>
      </w:pPr>
      <w:r>
        <w:rPr>
          <w:rFonts w:ascii="宋体" w:eastAsia="宋体" w:hAnsi="宋体" w:cs="宋体" w:hint="eastAsia"/>
          <w:sz w:val="72"/>
          <w:szCs w:val="72"/>
        </w:rPr>
        <w:t>河口镇人民政府</w:t>
      </w:r>
    </w:p>
    <w:p w:rsidR="00A22DE5" w:rsidRDefault="00812CF7">
      <w:pPr>
        <w:pStyle w:val="Default"/>
        <w:jc w:val="center"/>
        <w:rPr>
          <w:rFonts w:ascii="宋体" w:eastAsia="宋体" w:hAnsi="宋体" w:cs="宋体"/>
          <w:sz w:val="72"/>
          <w:szCs w:val="72"/>
        </w:rPr>
      </w:pPr>
      <w:r>
        <w:rPr>
          <w:rFonts w:ascii="宋体" w:eastAsia="宋体" w:hAnsi="宋体" w:cs="宋体" w:hint="eastAsia"/>
          <w:sz w:val="72"/>
          <w:szCs w:val="72"/>
        </w:rPr>
        <w:t>部门决算</w:t>
      </w:r>
    </w:p>
    <w:p w:rsidR="00A22DE5" w:rsidRDefault="00A22DE5">
      <w:pPr>
        <w:pStyle w:val="Default"/>
        <w:jc w:val="center"/>
        <w:rPr>
          <w:rFonts w:ascii="宋体" w:eastAsia="宋体" w:hAnsi="宋体" w:cs="宋体"/>
          <w:sz w:val="72"/>
          <w:szCs w:val="72"/>
        </w:rPr>
      </w:pPr>
    </w:p>
    <w:p w:rsidR="00A22DE5" w:rsidRDefault="00A22DE5">
      <w:pPr>
        <w:pStyle w:val="Default"/>
        <w:jc w:val="center"/>
        <w:rPr>
          <w:rFonts w:cs="Times New Roman"/>
          <w:sz w:val="56"/>
          <w:szCs w:val="56"/>
        </w:rPr>
      </w:pPr>
    </w:p>
    <w:p w:rsidR="00A22DE5" w:rsidRDefault="00A22DE5">
      <w:pPr>
        <w:pStyle w:val="Default"/>
        <w:jc w:val="center"/>
        <w:rPr>
          <w:rFonts w:cs="Times New Roman"/>
          <w:sz w:val="56"/>
          <w:szCs w:val="56"/>
        </w:rPr>
      </w:pPr>
    </w:p>
    <w:p w:rsidR="00A22DE5" w:rsidRDefault="00A22DE5">
      <w:pPr>
        <w:pStyle w:val="Default"/>
        <w:jc w:val="center"/>
        <w:rPr>
          <w:rFonts w:cs="Times New Roman"/>
          <w:sz w:val="56"/>
          <w:szCs w:val="56"/>
        </w:rPr>
      </w:pPr>
    </w:p>
    <w:p w:rsidR="00A22DE5" w:rsidRDefault="00812CF7">
      <w:pPr>
        <w:pStyle w:val="Default"/>
        <w:jc w:val="center"/>
        <w:rPr>
          <w:sz w:val="32"/>
          <w:szCs w:val="32"/>
        </w:rPr>
      </w:pPr>
      <w:r>
        <w:rPr>
          <w:rFonts w:hint="eastAsia"/>
          <w:sz w:val="32"/>
          <w:szCs w:val="32"/>
        </w:rPr>
        <w:t xml:space="preserve"> </w:t>
      </w:r>
    </w:p>
    <w:p w:rsidR="00A22DE5" w:rsidRDefault="00A22DE5">
      <w:pPr>
        <w:pStyle w:val="Default"/>
        <w:jc w:val="center"/>
        <w:rPr>
          <w:sz w:val="32"/>
          <w:szCs w:val="32"/>
        </w:rPr>
      </w:pPr>
    </w:p>
    <w:p w:rsidR="00A22DE5" w:rsidRDefault="00A22DE5">
      <w:pPr>
        <w:pStyle w:val="Default"/>
        <w:jc w:val="center"/>
        <w:rPr>
          <w:rFonts w:cs="Times New Roman"/>
          <w:sz w:val="32"/>
          <w:szCs w:val="32"/>
        </w:rPr>
      </w:pPr>
    </w:p>
    <w:p w:rsidR="00A22DE5" w:rsidRDefault="00A22DE5">
      <w:pPr>
        <w:pStyle w:val="Default"/>
        <w:spacing w:line="540" w:lineRule="exact"/>
        <w:jc w:val="both"/>
        <w:rPr>
          <w:rFonts w:cs="Times New Roman"/>
          <w:sz w:val="56"/>
          <w:szCs w:val="56"/>
        </w:rPr>
      </w:pPr>
    </w:p>
    <w:p w:rsidR="00A22DE5" w:rsidRDefault="00A22DE5">
      <w:pPr>
        <w:pStyle w:val="Default"/>
        <w:spacing w:line="540" w:lineRule="exact"/>
        <w:jc w:val="both"/>
        <w:rPr>
          <w:rFonts w:cs="Times New Roman"/>
          <w:sz w:val="56"/>
          <w:szCs w:val="56"/>
        </w:rPr>
      </w:pPr>
    </w:p>
    <w:p w:rsidR="00A22DE5" w:rsidRDefault="00A22DE5">
      <w:pPr>
        <w:pStyle w:val="Default"/>
        <w:spacing w:line="500" w:lineRule="exact"/>
        <w:jc w:val="both"/>
        <w:rPr>
          <w:rFonts w:cs="Times New Roman"/>
          <w:b/>
          <w:bCs/>
          <w:sz w:val="36"/>
          <w:szCs w:val="36"/>
        </w:rPr>
      </w:pPr>
    </w:p>
    <w:p w:rsidR="00A22DE5" w:rsidRDefault="00A22DE5">
      <w:pPr>
        <w:pStyle w:val="Default"/>
        <w:spacing w:line="500" w:lineRule="exact"/>
        <w:jc w:val="both"/>
        <w:rPr>
          <w:rFonts w:cs="Times New Roman"/>
          <w:b/>
          <w:bCs/>
          <w:sz w:val="36"/>
          <w:szCs w:val="36"/>
        </w:rPr>
      </w:pPr>
    </w:p>
    <w:p w:rsidR="00A22DE5" w:rsidRDefault="00812CF7">
      <w:pPr>
        <w:pStyle w:val="Default"/>
        <w:spacing w:line="500" w:lineRule="exact"/>
        <w:jc w:val="center"/>
        <w:rPr>
          <w:rFonts w:cs="Times New Roman"/>
          <w:b/>
          <w:bCs/>
          <w:sz w:val="36"/>
          <w:szCs w:val="36"/>
        </w:rPr>
      </w:pPr>
      <w:r>
        <w:rPr>
          <w:rFonts w:hint="eastAsia"/>
          <w:b/>
          <w:bCs/>
          <w:sz w:val="32"/>
          <w:szCs w:val="32"/>
        </w:rPr>
        <w:lastRenderedPageBreak/>
        <w:t>目录</w:t>
      </w:r>
    </w:p>
    <w:p w:rsidR="00A22DE5" w:rsidRDefault="00812CF7">
      <w:pPr>
        <w:pStyle w:val="Default"/>
        <w:spacing w:line="460" w:lineRule="exact"/>
        <w:rPr>
          <w:rFonts w:ascii="仿宋_GB2312" w:eastAsia="仿宋_GB2312" w:cs="Times New Roman"/>
          <w:b/>
          <w:bCs/>
          <w:sz w:val="32"/>
          <w:szCs w:val="32"/>
        </w:rPr>
      </w:pPr>
      <w:r>
        <w:rPr>
          <w:rFonts w:hint="eastAsia"/>
          <w:b/>
          <w:bCs/>
          <w:sz w:val="32"/>
          <w:szCs w:val="32"/>
        </w:rPr>
        <w:t>第一部分河口镇人民政府概况</w:t>
      </w:r>
    </w:p>
    <w:p w:rsidR="00A22DE5" w:rsidRDefault="00812CF7">
      <w:pPr>
        <w:pStyle w:val="Default"/>
        <w:spacing w:line="460" w:lineRule="exact"/>
        <w:ind w:firstLineChars="250" w:firstLine="800"/>
        <w:rPr>
          <w:rFonts w:ascii="宋体" w:eastAsia="宋体" w:hAnsi="宋体" w:cs="Times New Roman"/>
          <w:sz w:val="32"/>
          <w:szCs w:val="32"/>
        </w:rPr>
      </w:pPr>
      <w:r>
        <w:rPr>
          <w:rFonts w:ascii="宋体" w:eastAsia="宋体" w:hAnsi="宋体" w:cs="宋体" w:hint="eastAsia"/>
          <w:sz w:val="32"/>
          <w:szCs w:val="32"/>
        </w:rPr>
        <w:t>一、部门职责</w:t>
      </w:r>
    </w:p>
    <w:p w:rsidR="00A22DE5" w:rsidRDefault="00812CF7">
      <w:pPr>
        <w:pStyle w:val="Default"/>
        <w:spacing w:line="460" w:lineRule="exact"/>
        <w:ind w:firstLineChars="250" w:firstLine="800"/>
        <w:rPr>
          <w:rFonts w:ascii="宋体" w:eastAsia="宋体" w:hAnsi="宋体" w:cs="Times New Roman"/>
          <w:sz w:val="32"/>
          <w:szCs w:val="32"/>
        </w:rPr>
      </w:pPr>
      <w:r>
        <w:rPr>
          <w:rFonts w:ascii="宋体" w:eastAsia="宋体" w:hAnsi="宋体" w:cs="宋体" w:hint="eastAsia"/>
          <w:sz w:val="32"/>
          <w:szCs w:val="32"/>
        </w:rPr>
        <w:t>二、机构设置</w:t>
      </w:r>
    </w:p>
    <w:p w:rsidR="00A22DE5" w:rsidRDefault="00812CF7">
      <w:pPr>
        <w:pStyle w:val="Default"/>
        <w:spacing w:line="460" w:lineRule="exact"/>
        <w:rPr>
          <w:b/>
          <w:bCs/>
          <w:sz w:val="32"/>
          <w:szCs w:val="32"/>
        </w:rPr>
      </w:pPr>
      <w:r>
        <w:rPr>
          <w:rFonts w:hint="eastAsia"/>
          <w:b/>
          <w:bCs/>
          <w:sz w:val="32"/>
          <w:szCs w:val="32"/>
        </w:rPr>
        <w:t>第二部分2020年度部门决算表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一、收入支出决算总表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二、收入决算表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三、支出决算表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四、财政拨款收入支出决算总表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五、一般公共预算财政拨款支出决算表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六、一般公共预算财政拨款基本支出决算表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七、一般公共预算财政拨款“三公”经费支出决算表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八、政府性基金预算财政拨款收入支出决算表</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九、国有资本经营预算财政拨款支出决算表</w:t>
      </w:r>
    </w:p>
    <w:p w:rsidR="00A22DE5" w:rsidRDefault="00812CF7">
      <w:pPr>
        <w:pStyle w:val="Default"/>
        <w:spacing w:line="460" w:lineRule="exact"/>
        <w:rPr>
          <w:b/>
          <w:bCs/>
          <w:sz w:val="32"/>
          <w:szCs w:val="32"/>
        </w:rPr>
      </w:pPr>
      <w:r>
        <w:rPr>
          <w:rFonts w:hint="eastAsia"/>
          <w:b/>
          <w:bCs/>
          <w:sz w:val="32"/>
          <w:szCs w:val="32"/>
        </w:rPr>
        <w:t>第三部分2020年度部门决算情况说明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一、收入支出决算总体情况说明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二、收入决算情况说明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三、支出决算情况说明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四、财政拨款收入支出决算总体情况说明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五、一般公共预算财政拨款支出决算情况说明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六、一般公共预算财政拨款基本支出决算情况说明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七、一般公共预算财政拨款三公经费支出决算情况说明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八、政府性基金预算收入支出决算情况</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九、关于机关运行经费支出说明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十、一般性支出情况</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十一、关于政府采购支出说明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十二、关于国有资产占用情况说明</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十三、国有资本经营预算财政拨款支出决算情况</w:t>
      </w:r>
    </w:p>
    <w:p w:rsidR="00A22DE5" w:rsidRDefault="00812CF7">
      <w:pPr>
        <w:pStyle w:val="Default"/>
        <w:spacing w:line="460" w:lineRule="exact"/>
        <w:ind w:firstLineChars="250" w:firstLine="800"/>
        <w:rPr>
          <w:rFonts w:ascii="宋体" w:eastAsia="宋体" w:hAnsi="宋体" w:cs="宋体"/>
          <w:sz w:val="32"/>
          <w:szCs w:val="32"/>
        </w:rPr>
      </w:pPr>
      <w:r>
        <w:rPr>
          <w:rFonts w:ascii="宋体" w:eastAsia="宋体" w:hAnsi="宋体" w:cs="宋体" w:hint="eastAsia"/>
          <w:sz w:val="32"/>
          <w:szCs w:val="32"/>
        </w:rPr>
        <w:t>十四、关于2020年度预算绩效情况的说明</w:t>
      </w:r>
    </w:p>
    <w:p w:rsidR="00A22DE5" w:rsidRDefault="00812CF7">
      <w:pPr>
        <w:autoSpaceDE w:val="0"/>
        <w:autoSpaceDN w:val="0"/>
        <w:adjustRightInd w:val="0"/>
        <w:spacing w:line="460" w:lineRule="exact"/>
        <w:jc w:val="left"/>
        <w:rPr>
          <w:rFonts w:ascii="黑体" w:eastAsia="黑体" w:cs="黑体"/>
          <w:b/>
          <w:bCs/>
          <w:color w:val="000000"/>
          <w:kern w:val="0"/>
          <w:sz w:val="24"/>
          <w:szCs w:val="24"/>
        </w:rPr>
      </w:pPr>
      <w:r>
        <w:rPr>
          <w:rFonts w:ascii="黑体" w:eastAsia="黑体" w:cs="黑体" w:hint="eastAsia"/>
          <w:b/>
          <w:bCs/>
          <w:color w:val="000000"/>
          <w:kern w:val="0"/>
          <w:sz w:val="32"/>
          <w:szCs w:val="32"/>
        </w:rPr>
        <w:lastRenderedPageBreak/>
        <w:t>第四部分名词解释</w:t>
      </w:r>
      <w:r>
        <w:rPr>
          <w:rFonts w:ascii="黑体" w:eastAsia="黑体" w:cs="黑体" w:hint="eastAsia"/>
          <w:b/>
          <w:bCs/>
          <w:color w:val="000000"/>
          <w:kern w:val="0"/>
          <w:sz w:val="24"/>
          <w:szCs w:val="24"/>
        </w:rPr>
        <w:t xml:space="preserve">           </w:t>
      </w:r>
    </w:p>
    <w:p w:rsidR="00A22DE5" w:rsidRDefault="00812CF7">
      <w:pPr>
        <w:autoSpaceDE w:val="0"/>
        <w:autoSpaceDN w:val="0"/>
        <w:adjustRightInd w:val="0"/>
        <w:spacing w:line="460" w:lineRule="exact"/>
        <w:jc w:val="left"/>
        <w:rPr>
          <w:rFonts w:ascii="黑体" w:eastAsia="黑体" w:cs="黑体"/>
          <w:b/>
          <w:bCs/>
          <w:color w:val="000000"/>
          <w:kern w:val="0"/>
          <w:sz w:val="24"/>
          <w:szCs w:val="24"/>
        </w:rPr>
      </w:pPr>
      <w:r>
        <w:rPr>
          <w:rFonts w:ascii="黑体" w:eastAsia="黑体" w:cs="黑体" w:hint="eastAsia"/>
          <w:b/>
          <w:bCs/>
          <w:color w:val="000000"/>
          <w:kern w:val="0"/>
          <w:sz w:val="24"/>
          <w:szCs w:val="24"/>
        </w:rPr>
        <w:t xml:space="preserve"> </w:t>
      </w:r>
      <w:r>
        <w:rPr>
          <w:rFonts w:ascii="黑体" w:eastAsia="黑体" w:cs="黑体" w:hint="eastAsia"/>
          <w:b/>
          <w:bCs/>
          <w:color w:val="000000"/>
          <w:kern w:val="0"/>
          <w:sz w:val="32"/>
          <w:szCs w:val="32"/>
        </w:rPr>
        <w:t>第五部分附件</w:t>
      </w:r>
    </w:p>
    <w:p w:rsidR="00A22DE5" w:rsidRDefault="00A22DE5">
      <w:pPr>
        <w:pStyle w:val="Default"/>
        <w:jc w:val="center"/>
        <w:rPr>
          <w:rFonts w:ascii="宋体" w:eastAsia="宋体" w:hAnsi="宋体" w:cs="宋体"/>
          <w:sz w:val="72"/>
          <w:szCs w:val="72"/>
        </w:rPr>
      </w:pPr>
    </w:p>
    <w:p w:rsidR="00A22DE5" w:rsidRDefault="00812CF7">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A22DE5" w:rsidRDefault="00A22DE5">
      <w:pPr>
        <w:pStyle w:val="Default"/>
        <w:jc w:val="center"/>
        <w:rPr>
          <w:rFonts w:ascii="宋体" w:eastAsia="宋体" w:hAnsi="宋体" w:cs="宋体"/>
          <w:sz w:val="72"/>
          <w:szCs w:val="72"/>
        </w:rPr>
      </w:pPr>
    </w:p>
    <w:p w:rsidR="00A22DE5" w:rsidRDefault="00812CF7">
      <w:pPr>
        <w:pStyle w:val="Default"/>
        <w:jc w:val="center"/>
        <w:rPr>
          <w:rFonts w:ascii="宋体" w:eastAsia="宋体" w:hAnsi="宋体" w:cs="宋体"/>
          <w:sz w:val="72"/>
          <w:szCs w:val="72"/>
        </w:rPr>
      </w:pPr>
      <w:r>
        <w:rPr>
          <w:rFonts w:ascii="宋体" w:eastAsia="宋体" w:hAnsi="宋体" w:cs="宋体" w:hint="eastAsia"/>
          <w:sz w:val="72"/>
          <w:szCs w:val="72"/>
        </w:rPr>
        <w:t>河口镇人民政府</w:t>
      </w:r>
    </w:p>
    <w:p w:rsidR="00A22DE5" w:rsidRDefault="00812CF7">
      <w:pPr>
        <w:pStyle w:val="Default"/>
        <w:jc w:val="center"/>
        <w:rPr>
          <w:rFonts w:cs="Times New Roman"/>
          <w:sz w:val="84"/>
          <w:szCs w:val="84"/>
        </w:rPr>
      </w:pPr>
      <w:r>
        <w:rPr>
          <w:rFonts w:ascii="宋体" w:eastAsia="宋体" w:hAnsi="宋体" w:cs="宋体" w:hint="eastAsia"/>
          <w:sz w:val="72"/>
          <w:szCs w:val="72"/>
        </w:rPr>
        <w:t>单位概况</w:t>
      </w:r>
    </w:p>
    <w:p w:rsidR="00A22DE5" w:rsidRDefault="00A22DE5">
      <w:pPr>
        <w:jc w:val="center"/>
        <w:rPr>
          <w:rFonts w:cs="Times New Roman"/>
          <w:sz w:val="72"/>
          <w:szCs w:val="72"/>
        </w:rPr>
      </w:pPr>
    </w:p>
    <w:p w:rsidR="00A22DE5" w:rsidRDefault="00A22DE5">
      <w:pPr>
        <w:jc w:val="center"/>
        <w:rPr>
          <w:rFonts w:cs="Times New Roman"/>
          <w:sz w:val="72"/>
          <w:szCs w:val="72"/>
        </w:rPr>
      </w:pPr>
    </w:p>
    <w:p w:rsidR="00A22DE5" w:rsidRDefault="00A22DE5">
      <w:pPr>
        <w:jc w:val="center"/>
        <w:rPr>
          <w:rFonts w:cs="Times New Roman"/>
          <w:sz w:val="72"/>
          <w:szCs w:val="72"/>
        </w:rPr>
      </w:pPr>
    </w:p>
    <w:p w:rsidR="00A22DE5" w:rsidRDefault="00A22DE5">
      <w:pPr>
        <w:pStyle w:val="1"/>
        <w:ind w:left="720" w:firstLineChars="0" w:firstLine="0"/>
        <w:jc w:val="left"/>
        <w:rPr>
          <w:rFonts w:ascii="黑体" w:eastAsia="黑体" w:hAnsi="黑体" w:cs="Times New Roman"/>
          <w:sz w:val="32"/>
          <w:szCs w:val="32"/>
        </w:rPr>
      </w:pPr>
    </w:p>
    <w:p w:rsidR="00A22DE5" w:rsidRDefault="00812CF7">
      <w:pPr>
        <w:pStyle w:val="1"/>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A22DE5" w:rsidRDefault="00812CF7">
      <w:pPr>
        <w:ind w:firstLineChars="250" w:firstLine="800"/>
        <w:jc w:val="left"/>
        <w:rPr>
          <w:rFonts w:ascii="宋体" w:hAnsi="宋体" w:cs="宋体"/>
          <w:color w:val="000000"/>
          <w:kern w:val="0"/>
          <w:sz w:val="32"/>
          <w:szCs w:val="32"/>
        </w:rPr>
      </w:pPr>
      <w:r>
        <w:rPr>
          <w:rFonts w:ascii="宋体" w:hAnsi="宋体" w:cs="宋体" w:hint="eastAsia"/>
          <w:color w:val="000000"/>
          <w:kern w:val="0"/>
          <w:sz w:val="32"/>
          <w:szCs w:val="32"/>
        </w:rPr>
        <w:t>（一）执行上级国家行政机关的决定、命令和国家制定的法律、法规，接受同级党委的领导，执行本级人民代表大会的各项决议，并报告执行决议、决定和命令的情况。</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（二）制定并落实本行政区域的经济计划和措施，促进产业结构调整及其他经济保持平衡协调发展，全面提高人民群众的生活水平和生活质量。</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lastRenderedPageBreak/>
        <w:t>（三）承担国有资产、集体资产管理、监督及增值保值责任。认真执行国家的法律和政策，履行经济合同。</w:t>
      </w:r>
    </w:p>
    <w:p w:rsidR="00A22DE5" w:rsidRDefault="00812CF7">
      <w:pPr>
        <w:widowControl/>
        <w:ind w:firstLineChars="100" w:firstLine="320"/>
        <w:rPr>
          <w:rFonts w:ascii="宋体" w:hAnsi="宋体" w:cs="宋体"/>
          <w:color w:val="000000"/>
          <w:kern w:val="0"/>
          <w:sz w:val="32"/>
          <w:szCs w:val="32"/>
        </w:rPr>
      </w:pPr>
      <w:r>
        <w:rPr>
          <w:rFonts w:ascii="宋体" w:hAnsi="宋体" w:cs="宋体" w:hint="eastAsia"/>
          <w:color w:val="000000"/>
          <w:kern w:val="0"/>
          <w:sz w:val="32"/>
          <w:szCs w:val="32"/>
        </w:rPr>
        <w:t xml:space="preserve">　（四）开展社会主义民主和法制的宣传教育，制定社会治安综合治理工作规划并组织实施，加强社区管理工作，调解民间纠纷，打击违法犯罪，维护社会稳定。</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（五）制定社会各项事业发展计划，组织实施义务教育和其他各类教育，加强计划生育工作，推进社会保障、社会福利事业和养老保险工作。</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（六）加强镇级财政的监督和管理，按计划组织、管理财政收入和支出，执行国家有关财经法规和政策，保证国家财政收入的完成。做好统计工作。</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（七）指导、支持、帮助村民委员会的组织制度建设和业务建设，促进村民委员民主自治。</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（八）制定和组织实施镇村建设规划。加强公用、市政设施、水利建设和管理以及房屋土地管理和环境综合整治工作，保护和改善生活环境和生态环境。</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（九）协助和支持设置在本行政区域内不隶属于镇的国家机关和企事业单位工作，监督其遵守和执行国家的法律、法规和政策。</w:t>
      </w:r>
    </w:p>
    <w:p w:rsidR="00A22DE5" w:rsidRDefault="00812CF7">
      <w:pPr>
        <w:widowControl/>
        <w:ind w:firstLineChars="200" w:firstLine="640"/>
        <w:rPr>
          <w:rFonts w:ascii="宋体" w:hAnsi="宋体" w:cs="宋体"/>
          <w:color w:val="000000"/>
          <w:kern w:val="0"/>
          <w:sz w:val="32"/>
          <w:szCs w:val="32"/>
        </w:rPr>
      </w:pPr>
      <w:r>
        <w:rPr>
          <w:rFonts w:ascii="宋体" w:hAnsi="宋体" w:cs="宋体" w:hint="eastAsia"/>
          <w:color w:val="000000"/>
          <w:kern w:val="0"/>
          <w:sz w:val="32"/>
          <w:szCs w:val="32"/>
        </w:rPr>
        <w:t>（十）承办本级党委、人大和上级交办的其它事项。</w:t>
      </w:r>
    </w:p>
    <w:p w:rsidR="00A22DE5" w:rsidRDefault="00812CF7">
      <w:pPr>
        <w:widowControl/>
        <w:spacing w:line="600" w:lineRule="exact"/>
        <w:rPr>
          <w:rFonts w:ascii="宋体" w:hAnsi="宋体" w:cs="宋体"/>
          <w:color w:val="000000"/>
          <w:kern w:val="0"/>
          <w:sz w:val="32"/>
          <w:szCs w:val="32"/>
        </w:rPr>
      </w:pPr>
      <w:r>
        <w:rPr>
          <w:rFonts w:ascii="宋体" w:hAnsi="宋体" w:cs="宋体" w:hint="eastAsia"/>
          <w:color w:val="000000"/>
          <w:kern w:val="0"/>
          <w:sz w:val="32"/>
          <w:szCs w:val="32"/>
        </w:rPr>
        <w:t>二、机构设置及决算单位构成</w:t>
      </w:r>
    </w:p>
    <w:p w:rsidR="00A22DE5" w:rsidRDefault="00812CF7">
      <w:pPr>
        <w:widowControl/>
        <w:spacing w:line="600" w:lineRule="exact"/>
        <w:rPr>
          <w:rFonts w:ascii="宋体" w:hAnsi="宋体" w:cs="宋体"/>
          <w:color w:val="000000"/>
          <w:kern w:val="0"/>
          <w:sz w:val="32"/>
          <w:szCs w:val="32"/>
        </w:rPr>
      </w:pPr>
      <w:r>
        <w:rPr>
          <w:rFonts w:ascii="宋体" w:hAnsi="宋体" w:cs="宋体" w:hint="eastAsia"/>
          <w:color w:val="000000"/>
          <w:kern w:val="0"/>
          <w:sz w:val="32"/>
          <w:szCs w:val="32"/>
        </w:rPr>
        <w:lastRenderedPageBreak/>
        <w:t>（一）内设机构设置。河口镇人民政府单位内设机构包括：2020年本镇共有机构数11个，其中行政单位5个，事业单位6个，核定行政编42个，事业编74个，实有人数129人，其中政府30人、财政所8人、经济发展办公室5人、社会事务办14人、社会治安和应急管理办5人、自然资源和生态环境办6人、农业综合服务中心22人、社会事务综合服务中心18人、政务服务中心9人、退役军人服务站2人、综合执法大队10人。</w:t>
      </w:r>
    </w:p>
    <w:p w:rsidR="00A22DE5" w:rsidRDefault="00812CF7">
      <w:pPr>
        <w:widowControl/>
        <w:spacing w:line="600" w:lineRule="exact"/>
        <w:rPr>
          <w:rFonts w:ascii="宋体" w:hAnsi="宋体" w:cs="宋体"/>
          <w:color w:val="000000"/>
          <w:kern w:val="0"/>
          <w:sz w:val="32"/>
          <w:szCs w:val="32"/>
        </w:rPr>
      </w:pPr>
      <w:r>
        <w:rPr>
          <w:rFonts w:ascii="宋体" w:hAnsi="宋体" w:cs="宋体" w:hint="eastAsia"/>
          <w:color w:val="000000"/>
          <w:kern w:val="0"/>
          <w:sz w:val="32"/>
          <w:szCs w:val="32"/>
        </w:rPr>
        <w:t>（二）决算单位构成。河口镇人民政府单位2020年部门决算汇总公开单位构成包括：河口镇人民政府单位本级以及财政所、经济发展办公室、社会事务办、社会治安和应急管理办、自然资源和生态环境办、农业综合服务中心、社会事务综合服务中心、政务服务中心、退役军人服务站、综合执法大队。</w:t>
      </w:r>
    </w:p>
    <w:p w:rsidR="00A22DE5" w:rsidRDefault="00A22DE5">
      <w:pPr>
        <w:rPr>
          <w:rFonts w:ascii="黑体" w:eastAsia="黑体" w:hAnsi="黑体" w:cs="Times New Roman"/>
          <w:sz w:val="28"/>
          <w:szCs w:val="28"/>
        </w:rPr>
      </w:pPr>
    </w:p>
    <w:p w:rsidR="00A22DE5" w:rsidRDefault="00A22DE5">
      <w:pPr>
        <w:jc w:val="center"/>
        <w:rPr>
          <w:rFonts w:ascii="黑体" w:eastAsia="黑体" w:hAnsi="黑体" w:cs="Times New Roman"/>
          <w:sz w:val="28"/>
          <w:szCs w:val="28"/>
        </w:rPr>
      </w:pPr>
    </w:p>
    <w:p w:rsidR="00A22DE5" w:rsidRDefault="00812CF7">
      <w:pPr>
        <w:jc w:val="center"/>
        <w:rPr>
          <w:rFonts w:cs="Times New Roman"/>
          <w:sz w:val="72"/>
          <w:szCs w:val="72"/>
        </w:rPr>
      </w:pPr>
      <w:r>
        <w:rPr>
          <w:rFonts w:cs="宋体" w:hint="eastAsia"/>
          <w:sz w:val="72"/>
          <w:szCs w:val="72"/>
        </w:rPr>
        <w:t>第二部分</w:t>
      </w:r>
    </w:p>
    <w:p w:rsidR="00A22DE5" w:rsidRDefault="00A22DE5">
      <w:pPr>
        <w:jc w:val="center"/>
        <w:rPr>
          <w:rFonts w:cs="Times New Roman"/>
          <w:sz w:val="72"/>
          <w:szCs w:val="72"/>
        </w:rPr>
      </w:pPr>
    </w:p>
    <w:p w:rsidR="00A22DE5" w:rsidRDefault="00812CF7">
      <w:pPr>
        <w:jc w:val="center"/>
        <w:rPr>
          <w:rFonts w:cs="宋体"/>
          <w:sz w:val="72"/>
          <w:szCs w:val="72"/>
        </w:rPr>
      </w:pPr>
      <w:r>
        <w:rPr>
          <w:rFonts w:cs="宋体" w:hint="eastAsia"/>
          <w:sz w:val="72"/>
          <w:szCs w:val="72"/>
        </w:rPr>
        <w:t>部门决算表</w:t>
      </w:r>
    </w:p>
    <w:p w:rsidR="00A22DE5" w:rsidRDefault="00A22DE5">
      <w:pPr>
        <w:jc w:val="center"/>
        <w:rPr>
          <w:rFonts w:cs="宋体"/>
          <w:sz w:val="72"/>
          <w:szCs w:val="72"/>
        </w:rPr>
      </w:pPr>
    </w:p>
    <w:p w:rsidR="00A22DE5" w:rsidRDefault="00A22DE5">
      <w:pPr>
        <w:spacing w:line="560" w:lineRule="exact"/>
        <w:jc w:val="center"/>
        <w:rPr>
          <w:rFonts w:cs="Times New Roman"/>
          <w:sz w:val="72"/>
          <w:szCs w:val="72"/>
        </w:rPr>
      </w:pPr>
    </w:p>
    <w:p w:rsidR="00A22DE5" w:rsidRDefault="00A22DE5">
      <w:pPr>
        <w:jc w:val="left"/>
        <w:rPr>
          <w:rFonts w:ascii="宋体" w:cs="Times New Roman"/>
          <w:sz w:val="32"/>
          <w:szCs w:val="32"/>
        </w:rPr>
        <w:sectPr w:rsidR="00A22DE5">
          <w:pgSz w:w="11906" w:h="16838"/>
          <w:pgMar w:top="1440" w:right="1797" w:bottom="1440" w:left="1797" w:header="851" w:footer="992" w:gutter="0"/>
          <w:cols w:space="0"/>
          <w:docGrid w:type="lines" w:linePitch="312"/>
        </w:sectPr>
      </w:pPr>
    </w:p>
    <w:tbl>
      <w:tblPr>
        <w:tblW w:w="14081" w:type="dxa"/>
        <w:tblInd w:w="-106" w:type="dxa"/>
        <w:tblLayout w:type="fixed"/>
        <w:tblLook w:val="04A0" w:firstRow="1" w:lastRow="0" w:firstColumn="1" w:lastColumn="0" w:noHBand="0" w:noVBand="1"/>
      </w:tblPr>
      <w:tblGrid>
        <w:gridCol w:w="14081"/>
      </w:tblGrid>
      <w:tr w:rsidR="00A22DE5">
        <w:trPr>
          <w:trHeight w:val="1020"/>
        </w:trPr>
        <w:tc>
          <w:tcPr>
            <w:tcW w:w="14081" w:type="dxa"/>
            <w:tcBorders>
              <w:top w:val="nil"/>
              <w:left w:val="nil"/>
              <w:bottom w:val="nil"/>
              <w:right w:val="nil"/>
            </w:tcBorders>
            <w:vAlign w:val="center"/>
          </w:tcPr>
          <w:tbl>
            <w:tblPr>
              <w:tblW w:w="13859" w:type="dxa"/>
              <w:tblLayout w:type="fixed"/>
              <w:tblLook w:val="04A0" w:firstRow="1" w:lastRow="0" w:firstColumn="1" w:lastColumn="0" w:noHBand="0" w:noVBand="1"/>
            </w:tblPr>
            <w:tblGrid>
              <w:gridCol w:w="4032"/>
              <w:gridCol w:w="149"/>
              <w:gridCol w:w="120"/>
              <w:gridCol w:w="1469"/>
              <w:gridCol w:w="1462"/>
              <w:gridCol w:w="132"/>
              <w:gridCol w:w="3941"/>
              <w:gridCol w:w="735"/>
              <w:gridCol w:w="1819"/>
            </w:tblGrid>
            <w:tr w:rsidR="00A22DE5">
              <w:trPr>
                <w:trHeight w:val="384"/>
              </w:trPr>
              <w:tc>
                <w:tcPr>
                  <w:tcW w:w="13857" w:type="dxa"/>
                  <w:gridSpan w:val="9"/>
                  <w:tcBorders>
                    <w:top w:val="nil"/>
                    <w:left w:val="nil"/>
                    <w:bottom w:val="nil"/>
                    <w:right w:val="nil"/>
                  </w:tcBorders>
                  <w:shd w:val="clear" w:color="auto" w:fill="auto"/>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lastRenderedPageBreak/>
                    <w:t>收入支出决算总表</w:t>
                  </w:r>
                </w:p>
              </w:tc>
            </w:tr>
            <w:tr w:rsidR="00A22DE5">
              <w:trPr>
                <w:trHeight w:val="264"/>
              </w:trPr>
              <w:tc>
                <w:tcPr>
                  <w:tcW w:w="4033"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69" w:type="dxa"/>
                  <w:gridSpan w:val="2"/>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931" w:type="dxa"/>
                  <w:gridSpan w:val="2"/>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073" w:type="dxa"/>
                  <w:gridSpan w:val="2"/>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735"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816" w:type="dxa"/>
                  <w:tcBorders>
                    <w:top w:val="nil"/>
                    <w:left w:val="nil"/>
                    <w:bottom w:val="nil"/>
                    <w:right w:val="nil"/>
                  </w:tcBorders>
                  <w:shd w:val="clear" w:color="auto" w:fill="auto"/>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公开01表</w:t>
                  </w:r>
                </w:p>
              </w:tc>
            </w:tr>
            <w:tr w:rsidR="00A22DE5">
              <w:trPr>
                <w:trHeight w:val="264"/>
              </w:trPr>
              <w:tc>
                <w:tcPr>
                  <w:tcW w:w="4033" w:type="dxa"/>
                  <w:tcBorders>
                    <w:top w:val="nil"/>
                    <w:left w:val="nil"/>
                    <w:bottom w:val="nil"/>
                    <w:right w:val="nil"/>
                  </w:tcBorders>
                  <w:shd w:val="clear" w:color="auto" w:fill="auto"/>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69" w:type="dxa"/>
                  <w:gridSpan w:val="2"/>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931" w:type="dxa"/>
                  <w:gridSpan w:val="2"/>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073" w:type="dxa"/>
                  <w:gridSpan w:val="2"/>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735"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816" w:type="dxa"/>
                  <w:tcBorders>
                    <w:top w:val="nil"/>
                    <w:left w:val="nil"/>
                    <w:bottom w:val="nil"/>
                    <w:right w:val="nil"/>
                  </w:tcBorders>
                  <w:shd w:val="clear" w:color="auto" w:fill="auto"/>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736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收入</w:t>
                  </w:r>
                </w:p>
              </w:tc>
              <w:tc>
                <w:tcPr>
                  <w:tcW w:w="6494" w:type="dxa"/>
                  <w:gridSpan w:val="3"/>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支出</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735" w:type="dxa"/>
                  <w:tcBorders>
                    <w:top w:val="nil"/>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一、一般公共预算财政拨款收入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一、一般公共服务支出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2524.88</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二、政府性基金预算财政拨款收入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二、外交支出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三、国有资本经营预算财政拨款收入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三、国防支出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四、上级补助收入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四、公共安全支出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207.1</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五、事业收入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五、教育支出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六、经营收入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六、科学技术支出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七、附属单位上缴收入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七、文化旅游体育与传媒支出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八、其他收入</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2481.34</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八、社会保障和就业支出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九、卫生健康支出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十、节能环保支出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十一、城乡社区支出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413.04</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十二、农林水支出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1889.99</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十三、交通运输支出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十四、资源勘探工业信息等支出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十五、商业服务业等支出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十六、金融支出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十七、援助其他地区支出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十八、自然资源海洋气象等支出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十九、住房保障支出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二十、粮油物资储备支出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二十一、国有资本经营预算支出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二十二、灾害防治及应急管理支出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二十三、其他支出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center"/>
                    <w:rPr>
                      <w:rFonts w:ascii="宋体" w:hAnsi="宋体" w:cs="宋体"/>
                      <w:b/>
                      <w:bCs/>
                      <w:color w:val="000000"/>
                      <w:sz w:val="20"/>
                      <w:szCs w:val="20"/>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24</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0"/>
                      <w:szCs w:val="20"/>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二十四、债务还本支出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0"/>
                      <w:szCs w:val="20"/>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25</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0"/>
                      <w:szCs w:val="20"/>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二十五、债务付息支出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0"/>
                      <w:szCs w:val="20"/>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26</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0"/>
                      <w:szCs w:val="20"/>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二十六、抗疫特别国债安排的支出</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本年收入合计</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5476.08</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本年支出合计</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5476.08</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使用非财政拨款结余</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结余分配</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年初结转和结余</w:t>
                  </w: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年末结转和结余</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1589"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940"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1819"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r>
            <w:tr w:rsidR="00A22DE5">
              <w:trPr>
                <w:trHeight w:val="308"/>
              </w:trPr>
              <w:tc>
                <w:tcPr>
                  <w:tcW w:w="4182" w:type="dxa"/>
                  <w:gridSpan w:val="2"/>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1589" w:type="dxa"/>
                  <w:gridSpan w:val="2"/>
                  <w:tcBorders>
                    <w:top w:val="nil"/>
                    <w:left w:val="nil"/>
                    <w:bottom w:val="single" w:sz="8"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1594" w:type="dxa"/>
                  <w:gridSpan w:val="2"/>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5476.08</w:t>
                  </w:r>
                </w:p>
              </w:tc>
              <w:tc>
                <w:tcPr>
                  <w:tcW w:w="394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73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1819"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5476.08</w:t>
                  </w:r>
                </w:p>
              </w:tc>
            </w:tr>
            <w:tr w:rsidR="00A22DE5">
              <w:trPr>
                <w:trHeight w:val="308"/>
              </w:trPr>
              <w:tc>
                <w:tcPr>
                  <w:tcW w:w="13857" w:type="dxa"/>
                  <w:gridSpan w:val="9"/>
                  <w:tcBorders>
                    <w:top w:val="nil"/>
                    <w:left w:val="nil"/>
                    <w:bottom w:val="nil"/>
                    <w:right w:val="nil"/>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注：本表反映部门本年度的总收支和年末结转结余情况。本套报表金额单位转换时可能存在尾数误差。</w:t>
                  </w:r>
                </w:p>
              </w:tc>
            </w:tr>
          </w:tbl>
          <w:p w:rsidR="00A22DE5" w:rsidRDefault="00A22DE5">
            <w:pPr>
              <w:widowControl/>
              <w:jc w:val="left"/>
              <w:rPr>
                <w:rFonts w:ascii="宋体" w:cs="Times New Roman"/>
                <w:kern w:val="0"/>
                <w:sz w:val="24"/>
                <w:szCs w:val="24"/>
              </w:rPr>
            </w:pPr>
          </w:p>
        </w:tc>
      </w:tr>
    </w:tbl>
    <w:p w:rsidR="00A22DE5" w:rsidRDefault="00A22DE5">
      <w:pPr>
        <w:rPr>
          <w:rFonts w:ascii="黑体" w:eastAsia="黑体" w:hAnsi="黑体" w:cs="Times New Roman"/>
          <w:sz w:val="28"/>
          <w:szCs w:val="28"/>
        </w:rPr>
        <w:sectPr w:rsidR="00A22DE5">
          <w:pgSz w:w="16838" w:h="11906" w:orient="landscape"/>
          <w:pgMar w:top="1797" w:right="1440" w:bottom="1797" w:left="1440" w:header="851" w:footer="992" w:gutter="0"/>
          <w:cols w:space="425"/>
          <w:docGrid w:type="linesAndChars" w:linePitch="312"/>
        </w:sectPr>
      </w:pPr>
    </w:p>
    <w:p w:rsidR="00A22DE5" w:rsidRDefault="00A22DE5">
      <w:pPr>
        <w:widowControl/>
        <w:jc w:val="left"/>
        <w:rPr>
          <w:rFonts w:ascii="Times New Roman" w:eastAsia="黑体" w:hAnsi="Times New Roman" w:cs="Times New Roman"/>
          <w:kern w:val="0"/>
          <w:sz w:val="32"/>
          <w:szCs w:val="32"/>
        </w:rPr>
      </w:pPr>
    </w:p>
    <w:tbl>
      <w:tblPr>
        <w:tblW w:w="15614" w:type="dxa"/>
        <w:tblLayout w:type="fixed"/>
        <w:tblLook w:val="04A0" w:firstRow="1" w:lastRow="0" w:firstColumn="1" w:lastColumn="0" w:noHBand="0" w:noVBand="1"/>
      </w:tblPr>
      <w:tblGrid>
        <w:gridCol w:w="3006"/>
        <w:gridCol w:w="236"/>
        <w:gridCol w:w="236"/>
        <w:gridCol w:w="4609"/>
        <w:gridCol w:w="1206"/>
        <w:gridCol w:w="1160"/>
        <w:gridCol w:w="1248"/>
        <w:gridCol w:w="895"/>
        <w:gridCol w:w="889"/>
        <w:gridCol w:w="1044"/>
        <w:gridCol w:w="1085"/>
      </w:tblGrid>
      <w:tr w:rsidR="00A22DE5">
        <w:trPr>
          <w:trHeight w:val="384"/>
        </w:trPr>
        <w:tc>
          <w:tcPr>
            <w:tcW w:w="15614" w:type="dxa"/>
            <w:gridSpan w:val="11"/>
            <w:tcBorders>
              <w:top w:val="nil"/>
              <w:left w:val="nil"/>
              <w:bottom w:val="nil"/>
              <w:right w:val="nil"/>
            </w:tcBorders>
            <w:shd w:val="clear" w:color="auto" w:fill="auto"/>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t>收入决算表</w:t>
            </w:r>
          </w:p>
        </w:tc>
      </w:tr>
      <w:tr w:rsidR="00A22DE5">
        <w:trPr>
          <w:trHeight w:val="264"/>
        </w:trPr>
        <w:tc>
          <w:tcPr>
            <w:tcW w:w="3013"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618"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08"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16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50"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896"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890"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046"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087" w:type="dxa"/>
            <w:tcBorders>
              <w:top w:val="nil"/>
              <w:left w:val="nil"/>
              <w:bottom w:val="nil"/>
              <w:right w:val="nil"/>
            </w:tcBorders>
            <w:shd w:val="clear" w:color="auto" w:fill="auto"/>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公开02表</w:t>
            </w:r>
          </w:p>
        </w:tc>
      </w:tr>
      <w:tr w:rsidR="00A22DE5">
        <w:trPr>
          <w:trHeight w:val="264"/>
        </w:trPr>
        <w:tc>
          <w:tcPr>
            <w:tcW w:w="3013" w:type="dxa"/>
            <w:tcBorders>
              <w:top w:val="nil"/>
              <w:left w:val="nil"/>
              <w:bottom w:val="nil"/>
              <w:right w:val="nil"/>
            </w:tcBorders>
            <w:shd w:val="clear" w:color="auto" w:fill="auto"/>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618"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08"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16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50"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3919" w:type="dxa"/>
            <w:gridSpan w:val="4"/>
            <w:tcBorders>
              <w:top w:val="nil"/>
              <w:left w:val="nil"/>
              <w:bottom w:val="nil"/>
              <w:right w:val="nil"/>
            </w:tcBorders>
            <w:shd w:val="clear" w:color="auto" w:fill="auto"/>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807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208"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本年收入合计</w:t>
            </w:r>
          </w:p>
        </w:tc>
        <w:tc>
          <w:tcPr>
            <w:tcW w:w="1162"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财政拨款收入</w:t>
            </w:r>
          </w:p>
        </w:tc>
        <w:tc>
          <w:tcPr>
            <w:tcW w:w="1250"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上级补助收入</w:t>
            </w:r>
          </w:p>
        </w:tc>
        <w:tc>
          <w:tcPr>
            <w:tcW w:w="896"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事业收入</w:t>
            </w:r>
          </w:p>
        </w:tc>
        <w:tc>
          <w:tcPr>
            <w:tcW w:w="890"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经营收入</w:t>
            </w:r>
          </w:p>
        </w:tc>
        <w:tc>
          <w:tcPr>
            <w:tcW w:w="1046"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附属单位上缴收入</w:t>
            </w:r>
          </w:p>
        </w:tc>
        <w:tc>
          <w:tcPr>
            <w:tcW w:w="1087"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其他收入</w:t>
            </w:r>
          </w:p>
        </w:tc>
      </w:tr>
      <w:tr w:rsidR="00A22DE5">
        <w:trPr>
          <w:trHeight w:val="312"/>
        </w:trPr>
        <w:tc>
          <w:tcPr>
            <w:tcW w:w="3457"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4618" w:type="dxa"/>
            <w:vMerge w:val="restart"/>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08"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162"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5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896"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89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46"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87"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r>
      <w:tr w:rsidR="00A22DE5">
        <w:trPr>
          <w:trHeight w:val="312"/>
        </w:trPr>
        <w:tc>
          <w:tcPr>
            <w:tcW w:w="3457" w:type="dxa"/>
            <w:gridSpan w:val="3"/>
            <w:vMerge/>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4618" w:type="dxa"/>
            <w:vMerge/>
            <w:tcBorders>
              <w:top w:val="nil"/>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08"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162"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5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896"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89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46"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87"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r>
      <w:tr w:rsidR="00A22DE5">
        <w:trPr>
          <w:trHeight w:val="312"/>
        </w:trPr>
        <w:tc>
          <w:tcPr>
            <w:tcW w:w="3457" w:type="dxa"/>
            <w:gridSpan w:val="3"/>
            <w:vMerge/>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4618" w:type="dxa"/>
            <w:vMerge/>
            <w:tcBorders>
              <w:top w:val="nil"/>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08"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162"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5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896"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89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46"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87"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r>
      <w:tr w:rsidR="00A22DE5">
        <w:trPr>
          <w:trHeight w:val="308"/>
        </w:trPr>
        <w:tc>
          <w:tcPr>
            <w:tcW w:w="8075" w:type="dxa"/>
            <w:gridSpan w:val="4"/>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r>
      <w:tr w:rsidR="00A22DE5">
        <w:trPr>
          <w:trHeight w:val="308"/>
        </w:trPr>
        <w:tc>
          <w:tcPr>
            <w:tcW w:w="8075" w:type="dxa"/>
            <w:gridSpan w:val="4"/>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5476.08</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2994.74</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2481.34</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一般公共服务支出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2524.88</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1381.5</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1143.38</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政府办公厅（室）及相关机构事务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2230.87</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1286.46</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944.41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2176.19</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1239.56</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936.63</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其他政府办公厅（室）及相关机构事务支出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54.68</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46.90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7.78</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20104</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发展与改革事务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kern w:val="0"/>
                <w:sz w:val="22"/>
                <w:szCs w:val="22"/>
                <w:lang w:bidi="ar"/>
              </w:rPr>
              <w:t>119.08</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77.06</w:t>
            </w:r>
          </w:p>
        </w:tc>
      </w:tr>
      <w:tr w:rsidR="00A22DE5">
        <w:trPr>
          <w:trHeight w:val="327"/>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2010499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其他发展与改革事务支出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119.08</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42.02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textAlignment w:val="center"/>
              <w:rPr>
                <w:rFonts w:ascii="宋体" w:hAnsi="宋体" w:cs="宋体"/>
                <w:color w:val="000000"/>
                <w:sz w:val="22"/>
                <w:szCs w:val="22"/>
              </w:rPr>
            </w:pPr>
            <w:r>
              <w:rPr>
                <w:rFonts w:ascii="宋体" w:hAnsi="宋体" w:cs="宋体" w:hint="eastAsia"/>
                <w:color w:val="000000"/>
                <w:sz w:val="22"/>
                <w:szCs w:val="22"/>
              </w:rPr>
              <w:t xml:space="preserve">     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77.06</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财政事务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174.93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53.02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121.91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174.93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53.02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121.91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公共安全支出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207.10</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169.40</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其他公共安全支出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207.10</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169.40</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2049901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 xml:space="preserve">其他公共安全支出 </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207.10</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169.40</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文化旅游体育与传媒支出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106.88</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104.03</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其他文化旅游体育与传媒支出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106.88</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104.03</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2079999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其他文化旅游体育与传媒支出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106.88</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104.03</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60.07</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20828</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退役军人管理事务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60.07</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2082899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其他退役军人事务管理支出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60.07</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59.41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21001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卫生健康管理事务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59.41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其他卫生健康管理事务支出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59.41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413.04</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94.29</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318.75</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城乡社区管理事务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60.92</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sz w:val="22"/>
                <w:szCs w:val="22"/>
              </w:rPr>
            </w:pPr>
            <w:r>
              <w:rPr>
                <w:rFonts w:ascii="宋体" w:hAnsi="宋体" w:cs="宋体" w:hint="eastAsia"/>
                <w:kern w:val="0"/>
                <w:sz w:val="22"/>
                <w:szCs w:val="22"/>
                <w:lang w:bidi="ar"/>
              </w:rPr>
              <w:t>52.20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sz w:val="22"/>
                <w:szCs w:val="22"/>
              </w:rPr>
            </w:pPr>
            <w:r>
              <w:rPr>
                <w:rFonts w:ascii="宋体" w:hAnsi="宋体" w:cs="宋体" w:hint="eastAsia"/>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8.72</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2120104</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城管执法</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60.92</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sz w:val="22"/>
                <w:szCs w:val="22"/>
              </w:rPr>
            </w:pPr>
            <w:r>
              <w:rPr>
                <w:rFonts w:ascii="宋体" w:hAnsi="宋体" w:cs="宋体" w:hint="eastAsia"/>
                <w:kern w:val="0"/>
                <w:sz w:val="22"/>
                <w:szCs w:val="22"/>
                <w:lang w:bidi="ar"/>
              </w:rPr>
              <w:t>52.20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sz w:val="22"/>
                <w:szCs w:val="22"/>
              </w:rPr>
            </w:pPr>
            <w:r>
              <w:rPr>
                <w:rFonts w:ascii="宋体" w:hAnsi="宋体" w:cs="宋体" w:hint="eastAsia"/>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8.72</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城乡社区环境卫生</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352.12</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42.09</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310.03</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城乡社区环境卫生</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352.12</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42.09</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310.03</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农林水支出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1889.99</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1263.69</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626.31</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农业农村</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775.99</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616.83</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159.16</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2130126</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农业社会事务</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775.99</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616.83</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159.16</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农业综合改革</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sz w:val="22"/>
                <w:szCs w:val="22"/>
              </w:rPr>
              <w:t>332.23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332.23</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2130701</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对村级一事一议的补助</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61.00</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61.00</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2130705</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对村民委员会和村党支部的补助</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781.77</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314.63</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467.14</w:t>
            </w:r>
          </w:p>
        </w:tc>
      </w:tr>
      <w:tr w:rsidR="00A22DE5">
        <w:trPr>
          <w:trHeight w:val="308"/>
        </w:trPr>
        <w:tc>
          <w:tcPr>
            <w:tcW w:w="3457"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4618"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其他农林水支出</w:t>
            </w:r>
          </w:p>
        </w:tc>
        <w:tc>
          <w:tcPr>
            <w:tcW w:w="120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781.77</w:t>
            </w:r>
          </w:p>
        </w:tc>
        <w:tc>
          <w:tcPr>
            <w:tcW w:w="116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314.63</w:t>
            </w:r>
          </w:p>
        </w:tc>
        <w:tc>
          <w:tcPr>
            <w:tcW w:w="125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89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46"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87"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467.14</w:t>
            </w:r>
          </w:p>
        </w:tc>
      </w:tr>
      <w:tr w:rsidR="00A22DE5">
        <w:trPr>
          <w:trHeight w:val="308"/>
        </w:trPr>
        <w:tc>
          <w:tcPr>
            <w:tcW w:w="15614" w:type="dxa"/>
            <w:gridSpan w:val="11"/>
            <w:tcBorders>
              <w:top w:val="nil"/>
              <w:left w:val="nil"/>
              <w:bottom w:val="nil"/>
              <w:right w:val="nil"/>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注：本表反映部门本年度取得的各项收入情况。</w:t>
            </w:r>
          </w:p>
        </w:tc>
      </w:tr>
    </w:tbl>
    <w:p w:rsidR="00A22DE5" w:rsidRDefault="00A22DE5">
      <w:pPr>
        <w:widowControl/>
        <w:jc w:val="left"/>
        <w:rPr>
          <w:rFonts w:ascii="Times New Roman" w:eastAsia="黑体" w:hAnsi="Times New Roman" w:cs="Times New Roman"/>
          <w:kern w:val="0"/>
          <w:sz w:val="32"/>
          <w:szCs w:val="32"/>
        </w:rPr>
      </w:pPr>
    </w:p>
    <w:p w:rsidR="00A22DE5" w:rsidRDefault="00A22DE5">
      <w:pPr>
        <w:widowControl/>
        <w:rPr>
          <w:rFonts w:ascii="Times New Roman" w:eastAsia="方正小标宋_GBK" w:hAnsi="Times New Roman" w:cs="Times New Roman"/>
          <w:color w:val="000000"/>
          <w:kern w:val="0"/>
          <w:sz w:val="36"/>
          <w:szCs w:val="36"/>
        </w:rPr>
      </w:pPr>
    </w:p>
    <w:tbl>
      <w:tblPr>
        <w:tblW w:w="15608" w:type="dxa"/>
        <w:tblLayout w:type="fixed"/>
        <w:tblLook w:val="04A0" w:firstRow="1" w:lastRow="0" w:firstColumn="1" w:lastColumn="0" w:noHBand="0" w:noVBand="1"/>
      </w:tblPr>
      <w:tblGrid>
        <w:gridCol w:w="3010"/>
        <w:gridCol w:w="236"/>
        <w:gridCol w:w="236"/>
        <w:gridCol w:w="4607"/>
        <w:gridCol w:w="1281"/>
        <w:gridCol w:w="1253"/>
        <w:gridCol w:w="1122"/>
        <w:gridCol w:w="1028"/>
        <w:gridCol w:w="1439"/>
        <w:gridCol w:w="1396"/>
      </w:tblGrid>
      <w:tr w:rsidR="00A22DE5">
        <w:trPr>
          <w:trHeight w:val="384"/>
        </w:trPr>
        <w:tc>
          <w:tcPr>
            <w:tcW w:w="15608" w:type="dxa"/>
            <w:gridSpan w:val="10"/>
            <w:tcBorders>
              <w:top w:val="nil"/>
              <w:left w:val="nil"/>
              <w:bottom w:val="nil"/>
              <w:right w:val="nil"/>
            </w:tcBorders>
            <w:shd w:val="clear" w:color="auto" w:fill="auto"/>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t>支出决算表</w:t>
            </w:r>
          </w:p>
        </w:tc>
      </w:tr>
      <w:tr w:rsidR="00A22DE5">
        <w:trPr>
          <w:trHeight w:val="264"/>
        </w:trPr>
        <w:tc>
          <w:tcPr>
            <w:tcW w:w="3016"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616"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83"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55"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124"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030"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44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398" w:type="dxa"/>
            <w:tcBorders>
              <w:top w:val="nil"/>
              <w:left w:val="nil"/>
              <w:bottom w:val="nil"/>
              <w:right w:val="nil"/>
            </w:tcBorders>
            <w:shd w:val="clear" w:color="auto" w:fill="auto"/>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公开03表</w:t>
            </w:r>
          </w:p>
        </w:tc>
      </w:tr>
      <w:tr w:rsidR="00A22DE5">
        <w:trPr>
          <w:trHeight w:val="264"/>
        </w:trPr>
        <w:tc>
          <w:tcPr>
            <w:tcW w:w="3016" w:type="dxa"/>
            <w:tcBorders>
              <w:top w:val="nil"/>
              <w:left w:val="nil"/>
              <w:bottom w:val="nil"/>
              <w:right w:val="nil"/>
            </w:tcBorders>
            <w:shd w:val="clear" w:color="auto" w:fill="auto"/>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222"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616"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83"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1255" w:type="dxa"/>
            <w:tcBorders>
              <w:top w:val="nil"/>
              <w:left w:val="nil"/>
              <w:bottom w:val="nil"/>
              <w:right w:val="nil"/>
            </w:tcBorders>
            <w:shd w:val="clear" w:color="auto" w:fill="auto"/>
            <w:vAlign w:val="bottom"/>
          </w:tcPr>
          <w:p w:rsidR="00A22DE5" w:rsidRDefault="00A22DE5">
            <w:pPr>
              <w:rPr>
                <w:rFonts w:ascii="Arial" w:hAnsi="Arial" w:cs="Arial"/>
                <w:color w:val="000000"/>
                <w:sz w:val="20"/>
                <w:szCs w:val="20"/>
              </w:rPr>
            </w:pPr>
          </w:p>
        </w:tc>
        <w:tc>
          <w:tcPr>
            <w:tcW w:w="4994" w:type="dxa"/>
            <w:gridSpan w:val="4"/>
            <w:tcBorders>
              <w:top w:val="nil"/>
              <w:left w:val="nil"/>
              <w:bottom w:val="nil"/>
              <w:right w:val="nil"/>
            </w:tcBorders>
            <w:shd w:val="clear" w:color="auto" w:fill="auto"/>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80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283"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本年支出合计</w:t>
            </w:r>
          </w:p>
        </w:tc>
        <w:tc>
          <w:tcPr>
            <w:tcW w:w="1255"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1124"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c>
          <w:tcPr>
            <w:tcW w:w="1030"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上缴上级支出</w:t>
            </w:r>
          </w:p>
        </w:tc>
        <w:tc>
          <w:tcPr>
            <w:tcW w:w="1442"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经营支出</w:t>
            </w:r>
          </w:p>
        </w:tc>
        <w:tc>
          <w:tcPr>
            <w:tcW w:w="1398" w:type="dxa"/>
            <w:vMerge w:val="restart"/>
            <w:tcBorders>
              <w:top w:val="single" w:sz="4" w:space="0" w:color="000000"/>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对附属单位补助支出</w:t>
            </w:r>
          </w:p>
        </w:tc>
      </w:tr>
      <w:tr w:rsidR="00A22DE5">
        <w:trPr>
          <w:trHeight w:val="312"/>
        </w:trPr>
        <w:tc>
          <w:tcPr>
            <w:tcW w:w="3460" w:type="dxa"/>
            <w:gridSpan w:val="3"/>
            <w:vMerge w:val="restart"/>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4616" w:type="dxa"/>
            <w:vMerge w:val="restart"/>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83"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55"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124"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3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442"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398"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r>
      <w:tr w:rsidR="00A22DE5">
        <w:trPr>
          <w:trHeight w:val="312"/>
        </w:trPr>
        <w:tc>
          <w:tcPr>
            <w:tcW w:w="3460" w:type="dxa"/>
            <w:gridSpan w:val="3"/>
            <w:vMerge/>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4616" w:type="dxa"/>
            <w:vMerge/>
            <w:tcBorders>
              <w:top w:val="nil"/>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83"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55"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124"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3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442"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398"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r>
      <w:tr w:rsidR="00A22DE5">
        <w:trPr>
          <w:trHeight w:val="312"/>
        </w:trPr>
        <w:tc>
          <w:tcPr>
            <w:tcW w:w="3460" w:type="dxa"/>
            <w:gridSpan w:val="3"/>
            <w:vMerge/>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4616" w:type="dxa"/>
            <w:vMerge/>
            <w:tcBorders>
              <w:top w:val="nil"/>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83"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255"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124"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030"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442"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c>
          <w:tcPr>
            <w:tcW w:w="1398" w:type="dxa"/>
            <w:vMerge/>
            <w:tcBorders>
              <w:top w:val="single" w:sz="4" w:space="0" w:color="000000"/>
              <w:left w:val="nil"/>
              <w:bottom w:val="single" w:sz="4" w:space="0" w:color="000000"/>
              <w:right w:val="single" w:sz="4" w:space="0" w:color="000000"/>
            </w:tcBorders>
            <w:shd w:val="clear" w:color="auto" w:fill="auto"/>
            <w:vAlign w:val="center"/>
          </w:tcPr>
          <w:p w:rsidR="00A22DE5" w:rsidRDefault="00A22DE5">
            <w:pPr>
              <w:jc w:val="center"/>
              <w:rPr>
                <w:rFonts w:ascii="宋体" w:hAnsi="宋体" w:cs="宋体"/>
                <w:color w:val="000000"/>
                <w:sz w:val="22"/>
                <w:szCs w:val="22"/>
              </w:rPr>
            </w:pPr>
          </w:p>
        </w:tc>
      </w:tr>
      <w:tr w:rsidR="00A22DE5">
        <w:trPr>
          <w:trHeight w:val="308"/>
        </w:trPr>
        <w:tc>
          <w:tcPr>
            <w:tcW w:w="8076" w:type="dxa"/>
            <w:gridSpan w:val="4"/>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r>
      <w:tr w:rsidR="00A22DE5">
        <w:trPr>
          <w:trHeight w:val="308"/>
        </w:trPr>
        <w:tc>
          <w:tcPr>
            <w:tcW w:w="8076" w:type="dxa"/>
            <w:gridSpan w:val="4"/>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5476.08</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4856.33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619.75</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一般公共服务支出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2524.88</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1966.13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558.75</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政府办公厅（室）及相关机构事务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2230.87</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1750.72</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480.15</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2010301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2176.19</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1696.04</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480.15</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其他政府办公厅（室）及相关机构事务支出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54.68</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54.68</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20104</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发展与改革事务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119.08</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119.08</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2010499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其他发展与改革事务支出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119.08</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119.08</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财政事务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174.93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96.33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78.6</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174.93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96.33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78.6</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公共安全支出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207.10</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其他公共安全支出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207.10</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2049901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其他公共安全支出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207.10</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207.1</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文化旅游体育与传媒支出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其他文化旅游体育与传媒支出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2079999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其他文化旅游体育与传媒支出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210.71</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20828</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退役军人管理事务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2082899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其他退役军人事务管理支出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72.63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卫生健康管理事务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其他卫生健康管理事务支出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157.73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413.04</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413.04</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城乡社区管理事务</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60.92</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60.92</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2120104</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城管执法</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60.92</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60.92</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城乡社区环境卫生</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352.12</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352.12</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城乡社区环境卫生</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352.12</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352.12</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农林水支出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1889.99</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1828.99</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农业农村</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775.99</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775.99</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2130126</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农村社会事业</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775.99</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775.99</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农村综合改革</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332.23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2130701</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对村级一事一议的补助</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2130705</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对村民委员会和村党支部的补助</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271.23</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781.77</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781.77</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60"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4616" w:type="dxa"/>
            <w:tcBorders>
              <w:top w:val="nil"/>
              <w:left w:val="nil"/>
              <w:bottom w:val="single" w:sz="4" w:space="0" w:color="000000"/>
              <w:right w:val="single" w:sz="4" w:space="0" w:color="000000"/>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其他农林水支出</w:t>
            </w:r>
          </w:p>
        </w:tc>
        <w:tc>
          <w:tcPr>
            <w:tcW w:w="1283"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781.77</w:t>
            </w:r>
          </w:p>
        </w:tc>
        <w:tc>
          <w:tcPr>
            <w:tcW w:w="1255"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781.77</w:t>
            </w:r>
          </w:p>
        </w:tc>
        <w:tc>
          <w:tcPr>
            <w:tcW w:w="1124"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30"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42"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98" w:type="dxa"/>
            <w:tcBorders>
              <w:top w:val="nil"/>
              <w:left w:val="nil"/>
              <w:bottom w:val="single" w:sz="4" w:space="0" w:color="000000"/>
              <w:right w:val="single" w:sz="4" w:space="0" w:color="000000"/>
            </w:tcBorders>
            <w:shd w:val="clear" w:color="auto" w:fill="auto"/>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5608" w:type="dxa"/>
            <w:gridSpan w:val="10"/>
            <w:tcBorders>
              <w:top w:val="nil"/>
              <w:left w:val="nil"/>
              <w:bottom w:val="nil"/>
              <w:right w:val="nil"/>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注：本表反映部门本年度各项支出情况。</w:t>
            </w:r>
          </w:p>
        </w:tc>
      </w:tr>
    </w:tbl>
    <w:p w:rsidR="00A22DE5" w:rsidRDefault="00A22DE5">
      <w:pPr>
        <w:widowControl/>
        <w:rPr>
          <w:rFonts w:ascii="Times New Roman" w:eastAsia="方正小标宋_GBK" w:hAnsi="Times New Roman" w:cs="Times New Roman"/>
          <w:color w:val="000000"/>
          <w:kern w:val="0"/>
          <w:sz w:val="36"/>
          <w:szCs w:val="36"/>
        </w:rPr>
      </w:pPr>
    </w:p>
    <w:p w:rsidR="00A22DE5" w:rsidRDefault="00A22DE5">
      <w:pPr>
        <w:widowControl/>
        <w:rPr>
          <w:rFonts w:ascii="Times New Roman" w:eastAsia="方正小标宋_GBK" w:hAnsi="Times New Roman" w:cs="Times New Roman"/>
          <w:color w:val="000000"/>
          <w:kern w:val="0"/>
          <w:sz w:val="36"/>
          <w:szCs w:val="36"/>
        </w:rPr>
      </w:pPr>
    </w:p>
    <w:p w:rsidR="00A22DE5" w:rsidRDefault="00A22DE5">
      <w:pPr>
        <w:widowControl/>
        <w:rPr>
          <w:rFonts w:ascii="Times New Roman" w:eastAsia="方正小标宋_GBK" w:hAnsi="Times New Roman" w:cs="Times New Roman"/>
          <w:color w:val="000000"/>
          <w:kern w:val="0"/>
          <w:sz w:val="36"/>
          <w:szCs w:val="36"/>
        </w:rPr>
      </w:pPr>
    </w:p>
    <w:tbl>
      <w:tblPr>
        <w:tblW w:w="15614" w:type="dxa"/>
        <w:tblLayout w:type="fixed"/>
        <w:tblLook w:val="04A0" w:firstRow="1" w:lastRow="0" w:firstColumn="1" w:lastColumn="0" w:noHBand="0" w:noVBand="1"/>
      </w:tblPr>
      <w:tblGrid>
        <w:gridCol w:w="3400"/>
        <w:gridCol w:w="534"/>
        <w:gridCol w:w="1499"/>
        <w:gridCol w:w="3857"/>
        <w:gridCol w:w="534"/>
        <w:gridCol w:w="1365"/>
        <w:gridCol w:w="1427"/>
        <w:gridCol w:w="1421"/>
        <w:gridCol w:w="1577"/>
      </w:tblGrid>
      <w:tr w:rsidR="00A22DE5">
        <w:trPr>
          <w:trHeight w:val="384"/>
        </w:trPr>
        <w:tc>
          <w:tcPr>
            <w:tcW w:w="15614" w:type="dxa"/>
            <w:gridSpan w:val="9"/>
            <w:tcBorders>
              <w:top w:val="nil"/>
              <w:left w:val="nil"/>
              <w:bottom w:val="nil"/>
              <w:right w:val="nil"/>
            </w:tcBorders>
            <w:shd w:val="clear" w:color="auto" w:fill="FFFFFF"/>
            <w:vAlign w:val="bottom"/>
          </w:tcPr>
          <w:p w:rsidR="00A22DE5" w:rsidRDefault="00812CF7">
            <w:pPr>
              <w:jc w:val="center"/>
              <w:rPr>
                <w:rFonts w:ascii="Arial" w:hAnsi="Arial" w:cs="Arial"/>
                <w:color w:val="000000"/>
                <w:sz w:val="20"/>
                <w:szCs w:val="20"/>
              </w:rPr>
            </w:pPr>
            <w:bookmarkStart w:id="0" w:name="RANGE_A1_I22"/>
            <w:bookmarkStart w:id="1" w:name="RANGE_A1_F16"/>
            <w:bookmarkEnd w:id="0"/>
            <w:r>
              <w:rPr>
                <w:rFonts w:ascii="宋体" w:hAnsi="宋体" w:cs="宋体" w:hint="eastAsia"/>
                <w:color w:val="000000"/>
                <w:kern w:val="0"/>
                <w:sz w:val="30"/>
                <w:szCs w:val="30"/>
                <w:lang w:bidi="ar"/>
              </w:rPr>
              <w:t>财政拨款收入支出决算总表</w:t>
            </w:r>
          </w:p>
        </w:tc>
      </w:tr>
      <w:tr w:rsidR="00A22DE5">
        <w:trPr>
          <w:trHeight w:val="264"/>
        </w:trPr>
        <w:tc>
          <w:tcPr>
            <w:tcW w:w="340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534"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49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85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534"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365"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42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421"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577"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公开04表</w:t>
            </w:r>
          </w:p>
        </w:tc>
      </w:tr>
      <w:tr w:rsidR="00A22DE5">
        <w:trPr>
          <w:trHeight w:val="264"/>
        </w:trPr>
        <w:tc>
          <w:tcPr>
            <w:tcW w:w="3400" w:type="dxa"/>
            <w:tcBorders>
              <w:top w:val="nil"/>
              <w:left w:val="nil"/>
              <w:bottom w:val="nil"/>
              <w:right w:val="nil"/>
            </w:tcBorders>
            <w:shd w:val="clear" w:color="auto" w:fill="FFFFFF"/>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534"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49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85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534"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365"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4425" w:type="dxa"/>
            <w:gridSpan w:val="3"/>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5433"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收     入</w:t>
            </w:r>
          </w:p>
        </w:tc>
        <w:tc>
          <w:tcPr>
            <w:tcW w:w="10181" w:type="dxa"/>
            <w:gridSpan w:val="6"/>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支     出</w:t>
            </w:r>
          </w:p>
        </w:tc>
      </w:tr>
      <w:tr w:rsidR="00A22DE5">
        <w:trPr>
          <w:trHeight w:val="312"/>
        </w:trPr>
        <w:tc>
          <w:tcPr>
            <w:tcW w:w="3400" w:type="dxa"/>
            <w:vMerge w:val="restart"/>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34"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499"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c>
          <w:tcPr>
            <w:tcW w:w="3857"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34"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365"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427"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一般公共预算财政拨款</w:t>
            </w:r>
          </w:p>
        </w:tc>
        <w:tc>
          <w:tcPr>
            <w:tcW w:w="1421"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政府性基金预算财政拨款</w:t>
            </w:r>
          </w:p>
        </w:tc>
        <w:tc>
          <w:tcPr>
            <w:tcW w:w="1577"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国有资本经营预算财政拨款</w:t>
            </w:r>
          </w:p>
        </w:tc>
      </w:tr>
      <w:tr w:rsidR="00A22DE5">
        <w:trPr>
          <w:trHeight w:val="615"/>
        </w:trPr>
        <w:tc>
          <w:tcPr>
            <w:tcW w:w="3400" w:type="dxa"/>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534"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499"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385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534"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365"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42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42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57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34" w:type="dxa"/>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34" w:type="dxa"/>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一、一般公共预算财政拨款</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一、一般公共服务支出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1381.50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1381.50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二、政府性基金预算财政拨款</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二、外交支出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三、国有资本经营财政拨款</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三、国防支出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四、公共安全支出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37.70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37.70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五、教育支出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六、科学技术支出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七、文化旅游体育与传媒支出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八、社会保障和就业支出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九、卫生健康支出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十、节能环保支出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十一、城乡社区支出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94.29</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94.29</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十二、农林水支出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1263.69</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1263.69</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十三、交通运输支出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十四、资源勘探工业信息等支出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十五、商业服务业等支出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十六、金融支出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十七、援助其他地区支出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十八、自然资源海洋气象等支出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十九、住房保障支出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二十、粮油物资储备支出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二十一、国有资本经营预算支出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二十二、灾害防治及应急管理支出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二十三、其他支出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b/>
                <w:bCs/>
                <w:color w:val="000000"/>
                <w:sz w:val="20"/>
                <w:szCs w:val="20"/>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24</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二十四、债务还本支出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0"/>
                <w:szCs w:val="20"/>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25</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二十五、债务付息支出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0"/>
                <w:szCs w:val="20"/>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26</w:t>
            </w:r>
          </w:p>
        </w:tc>
        <w:tc>
          <w:tcPr>
            <w:tcW w:w="1499"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二十六、抗疫特别国债安排的支出</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本年收入合计</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本年支出合计</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年初财政拨款结转和结余</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年末财政拨款结转和结余</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一般公共预算财政拨款</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136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42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42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57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政府性基金预算财政拨款</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136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42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42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57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国有资本经营预算财政拨款</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857"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63</w:t>
            </w:r>
          </w:p>
        </w:tc>
        <w:tc>
          <w:tcPr>
            <w:tcW w:w="136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42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42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57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3400"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534" w:type="dxa"/>
            <w:tcBorders>
              <w:top w:val="nil"/>
              <w:left w:val="nil"/>
              <w:bottom w:val="single" w:sz="8"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149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385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总计</w:t>
            </w:r>
          </w:p>
        </w:tc>
        <w:tc>
          <w:tcPr>
            <w:tcW w:w="534"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64</w:t>
            </w:r>
          </w:p>
        </w:tc>
        <w:tc>
          <w:tcPr>
            <w:tcW w:w="1365"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142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2994.74</w:t>
            </w:r>
          </w:p>
        </w:tc>
        <w:tc>
          <w:tcPr>
            <w:tcW w:w="14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577"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4037" w:type="dxa"/>
            <w:gridSpan w:val="8"/>
            <w:tcBorders>
              <w:top w:val="nil"/>
              <w:left w:val="nil"/>
              <w:bottom w:val="nil"/>
              <w:right w:val="nil"/>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注：本表反映部门本年度一般公共预算财政拨款、政府性基金预算财政拨款和国有资本经营预算财政拨款的总收支和年末结转结余情况。</w:t>
            </w:r>
          </w:p>
        </w:tc>
        <w:tc>
          <w:tcPr>
            <w:tcW w:w="1577" w:type="dxa"/>
            <w:tcBorders>
              <w:top w:val="nil"/>
              <w:left w:val="nil"/>
              <w:bottom w:val="nil"/>
              <w:right w:val="nil"/>
            </w:tcBorders>
            <w:shd w:val="clear" w:color="auto" w:fill="FFFFFF"/>
            <w:vAlign w:val="center"/>
          </w:tcPr>
          <w:p w:rsidR="00A22DE5" w:rsidRDefault="00A22DE5">
            <w:pPr>
              <w:jc w:val="left"/>
              <w:rPr>
                <w:rFonts w:ascii="宋体" w:hAnsi="宋体" w:cs="宋体"/>
                <w:color w:val="000000"/>
                <w:sz w:val="20"/>
                <w:szCs w:val="20"/>
              </w:rPr>
            </w:pPr>
          </w:p>
        </w:tc>
      </w:tr>
    </w:tbl>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p w:rsidR="00A22DE5" w:rsidRDefault="00A22DE5">
      <w:pPr>
        <w:widowControl/>
        <w:jc w:val="center"/>
        <w:rPr>
          <w:rFonts w:ascii="Times New Roman" w:eastAsia="方正小标宋_GBK" w:hAnsi="Times New Roman" w:cs="Times New Roman"/>
          <w:kern w:val="0"/>
          <w:sz w:val="36"/>
          <w:szCs w:val="36"/>
        </w:rPr>
      </w:pPr>
    </w:p>
    <w:tbl>
      <w:tblPr>
        <w:tblW w:w="15614" w:type="dxa"/>
        <w:tblLayout w:type="fixed"/>
        <w:tblLook w:val="04A0" w:firstRow="1" w:lastRow="0" w:firstColumn="1" w:lastColumn="0" w:noHBand="0" w:noVBand="1"/>
      </w:tblPr>
      <w:tblGrid>
        <w:gridCol w:w="3498"/>
        <w:gridCol w:w="256"/>
        <w:gridCol w:w="259"/>
        <w:gridCol w:w="5352"/>
        <w:gridCol w:w="1980"/>
        <w:gridCol w:w="1980"/>
        <w:gridCol w:w="2289"/>
      </w:tblGrid>
      <w:tr w:rsidR="00A22DE5">
        <w:trPr>
          <w:trHeight w:val="384"/>
        </w:trPr>
        <w:tc>
          <w:tcPr>
            <w:tcW w:w="15614" w:type="dxa"/>
            <w:gridSpan w:val="7"/>
            <w:tcBorders>
              <w:top w:val="nil"/>
              <w:left w:val="nil"/>
              <w:bottom w:val="nil"/>
              <w:right w:val="nil"/>
            </w:tcBorders>
            <w:shd w:val="clear" w:color="auto" w:fill="FFFFFF"/>
            <w:vAlign w:val="bottom"/>
          </w:tcPr>
          <w:bookmarkEnd w:id="1"/>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t>一般公共预算财政拨款支出决算表</w:t>
            </w:r>
          </w:p>
        </w:tc>
      </w:tr>
      <w:tr w:rsidR="00A22DE5">
        <w:trPr>
          <w:trHeight w:val="264"/>
        </w:trPr>
        <w:tc>
          <w:tcPr>
            <w:tcW w:w="3498"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5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5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535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289"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公开05表</w:t>
            </w:r>
          </w:p>
        </w:tc>
      </w:tr>
      <w:tr w:rsidR="00A22DE5">
        <w:trPr>
          <w:trHeight w:val="264"/>
        </w:trPr>
        <w:tc>
          <w:tcPr>
            <w:tcW w:w="3498" w:type="dxa"/>
            <w:tcBorders>
              <w:top w:val="nil"/>
              <w:left w:val="nil"/>
              <w:bottom w:val="nil"/>
              <w:right w:val="nil"/>
            </w:tcBorders>
            <w:shd w:val="clear" w:color="auto" w:fill="FFFFFF"/>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25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5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535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98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289"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93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6249" w:type="dxa"/>
            <w:gridSpan w:val="3"/>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r>
      <w:tr w:rsidR="00A22DE5">
        <w:trPr>
          <w:trHeight w:val="312"/>
        </w:trPr>
        <w:tc>
          <w:tcPr>
            <w:tcW w:w="4013" w:type="dxa"/>
            <w:gridSpan w:val="3"/>
            <w:vMerge w:val="restart"/>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5352"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98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98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2289"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r>
      <w:tr w:rsidR="00A22DE5">
        <w:trPr>
          <w:trHeight w:val="312"/>
        </w:trPr>
        <w:tc>
          <w:tcPr>
            <w:tcW w:w="4013" w:type="dxa"/>
            <w:gridSpan w:val="3"/>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5352"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289"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12"/>
        </w:trPr>
        <w:tc>
          <w:tcPr>
            <w:tcW w:w="4013" w:type="dxa"/>
            <w:gridSpan w:val="3"/>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5352"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98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289"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08"/>
        </w:trPr>
        <w:tc>
          <w:tcPr>
            <w:tcW w:w="9365" w:type="dxa"/>
            <w:gridSpan w:val="4"/>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A22DE5">
        <w:trPr>
          <w:trHeight w:val="308"/>
        </w:trPr>
        <w:tc>
          <w:tcPr>
            <w:tcW w:w="9365" w:type="dxa"/>
            <w:gridSpan w:val="4"/>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2994.74</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2933.74</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61.00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一般公共服务支出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1381.50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1381.50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政府办公厅（室）及相关机构事务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1286.46</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1286.46</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1239.56</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1239.56</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2010399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其他政府办公厅（室）及相关机构事务支出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46.90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46.90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20104</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发展与改革事务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2010499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其他发展与改革事务支出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财政事务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53.02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53.02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行政运行</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53.02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53.02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公共安全支出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其他公共安全支出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2049901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其他公共安全支出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37.70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文化旅游体育与传媒支出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其他文化旅游体育与传媒支出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2079999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其他文化旅游体育与传媒支出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106.68</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12.56</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20828</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退役军人管理事务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12.56</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2082899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其他退役军人事务管理支出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12.56</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12.56</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卫生健康管理事务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其他卫生健康管理事务支出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98.32</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94.29</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94.29</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城乡社区管理事务</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52.20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52.20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2120104</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城管执法</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52.20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52.20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城乡社区环境卫生</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42.09</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42.09</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城乡社区环境卫生</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42.09</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42.09</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农林水支出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1263.69</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1202.69</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农业农村</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616.83</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616.83</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2130126</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农村社会事业</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616.83</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616.83</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农村综合改革</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332.23</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sz w:val="22"/>
                <w:szCs w:val="22"/>
              </w:rPr>
              <w:t>271.23</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2130701</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对村级一事一议的补助</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2130705</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对村民委员会和村党支部的补助</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314.63</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314.63</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4013"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5352"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其他农林水支出</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314.63</w:t>
            </w:r>
          </w:p>
        </w:tc>
        <w:tc>
          <w:tcPr>
            <w:tcW w:w="198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314.63</w:t>
            </w:r>
          </w:p>
        </w:tc>
        <w:tc>
          <w:tcPr>
            <w:tcW w:w="228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5614" w:type="dxa"/>
            <w:gridSpan w:val="7"/>
            <w:tcBorders>
              <w:top w:val="nil"/>
              <w:left w:val="nil"/>
              <w:bottom w:val="nil"/>
              <w:right w:val="nil"/>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注：本表反映部门本年度一般公共预算财政拨款支出情况。</w:t>
            </w:r>
          </w:p>
        </w:tc>
      </w:tr>
    </w:tbl>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p w:rsidR="00A22DE5" w:rsidRDefault="00A22DE5">
      <w:pPr>
        <w:widowControl/>
        <w:jc w:val="left"/>
        <w:rPr>
          <w:rFonts w:ascii="Times New Roman" w:eastAsia="仿宋_GB2312" w:hAnsi="Times New Roman" w:cs="Times New Roman"/>
          <w:kern w:val="0"/>
        </w:rPr>
      </w:pPr>
    </w:p>
    <w:tbl>
      <w:tblPr>
        <w:tblW w:w="15614" w:type="dxa"/>
        <w:tblLayout w:type="fixed"/>
        <w:tblLook w:val="04A0" w:firstRow="1" w:lastRow="0" w:firstColumn="1" w:lastColumn="0" w:noHBand="0" w:noVBand="1"/>
      </w:tblPr>
      <w:tblGrid>
        <w:gridCol w:w="1099"/>
        <w:gridCol w:w="2856"/>
        <w:gridCol w:w="1392"/>
        <w:gridCol w:w="1200"/>
        <w:gridCol w:w="2220"/>
        <w:gridCol w:w="1056"/>
        <w:gridCol w:w="1200"/>
        <w:gridCol w:w="3320"/>
        <w:gridCol w:w="1271"/>
      </w:tblGrid>
      <w:tr w:rsidR="00A22DE5">
        <w:trPr>
          <w:trHeight w:val="384"/>
        </w:trPr>
        <w:tc>
          <w:tcPr>
            <w:tcW w:w="14343" w:type="dxa"/>
            <w:gridSpan w:val="8"/>
            <w:tcBorders>
              <w:top w:val="nil"/>
              <w:left w:val="nil"/>
              <w:bottom w:val="nil"/>
              <w:right w:val="nil"/>
            </w:tcBorders>
            <w:shd w:val="clear" w:color="auto" w:fill="FFFFFF"/>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t>一般公共预算财政拨款基本支出决算表</w:t>
            </w:r>
          </w:p>
        </w:tc>
        <w:tc>
          <w:tcPr>
            <w:tcW w:w="1271"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r>
      <w:tr w:rsidR="00A22DE5">
        <w:trPr>
          <w:trHeight w:val="264"/>
        </w:trPr>
        <w:tc>
          <w:tcPr>
            <w:tcW w:w="109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85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39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22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05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32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271"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公开06表</w:t>
            </w:r>
          </w:p>
        </w:tc>
      </w:tr>
      <w:tr w:rsidR="00A22DE5">
        <w:trPr>
          <w:trHeight w:val="264"/>
        </w:trPr>
        <w:tc>
          <w:tcPr>
            <w:tcW w:w="3955" w:type="dxa"/>
            <w:gridSpan w:val="2"/>
            <w:tcBorders>
              <w:top w:val="nil"/>
              <w:left w:val="nil"/>
              <w:bottom w:val="nil"/>
              <w:right w:val="nil"/>
            </w:tcBorders>
            <w:shd w:val="clear" w:color="auto" w:fill="FFFFFF"/>
            <w:vAlign w:val="bottom"/>
          </w:tcPr>
          <w:p w:rsidR="00A22DE5" w:rsidRDefault="00812CF7">
            <w:pPr>
              <w:rPr>
                <w:rFonts w:ascii="Arial" w:hAnsi="Arial" w:cs="Arial"/>
                <w:color w:val="000000"/>
                <w:sz w:val="20"/>
                <w:szCs w:val="20"/>
              </w:rPr>
            </w:pPr>
            <w:r>
              <w:rPr>
                <w:rFonts w:ascii="宋体" w:hAnsi="宋体" w:cs="宋体" w:hint="eastAsia"/>
                <w:color w:val="000000"/>
                <w:kern w:val="0"/>
                <w:sz w:val="20"/>
                <w:szCs w:val="20"/>
                <w:lang w:bidi="ar"/>
              </w:rPr>
              <w:t>部门：湘潭县河口镇人民政府</w:t>
            </w:r>
          </w:p>
        </w:tc>
        <w:tc>
          <w:tcPr>
            <w:tcW w:w="139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22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05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20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32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271"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金额单位：万元</w:t>
            </w:r>
          </w:p>
        </w:tc>
      </w:tr>
      <w:tr w:rsidR="00A22DE5">
        <w:trPr>
          <w:trHeight w:val="308"/>
        </w:trPr>
        <w:tc>
          <w:tcPr>
            <w:tcW w:w="5347"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人员经费</w:t>
            </w:r>
          </w:p>
        </w:tc>
        <w:tc>
          <w:tcPr>
            <w:tcW w:w="10267" w:type="dxa"/>
            <w:gridSpan w:val="6"/>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公用经费</w:t>
            </w:r>
          </w:p>
        </w:tc>
      </w:tr>
      <w:tr w:rsidR="00A22DE5">
        <w:trPr>
          <w:trHeight w:val="312"/>
        </w:trPr>
        <w:tc>
          <w:tcPr>
            <w:tcW w:w="1099" w:type="dxa"/>
            <w:vMerge w:val="restart"/>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2856"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392"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c>
          <w:tcPr>
            <w:tcW w:w="120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222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056"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c>
          <w:tcPr>
            <w:tcW w:w="120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332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71"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r>
      <w:tr w:rsidR="00A22DE5">
        <w:trPr>
          <w:trHeight w:val="312"/>
        </w:trPr>
        <w:tc>
          <w:tcPr>
            <w:tcW w:w="1099" w:type="dxa"/>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856"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392"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20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22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056"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20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332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27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工资福利支出</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1479.85</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商品和服务支出</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1308.85</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债务利息及费用支出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30101</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基本工资</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449.04</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30201</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办公费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109.17</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30701</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国内债务付息</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30102</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津贴补贴</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329.58</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30202</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印刷费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81.76</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30702</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国外债务付息</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30103</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奖金</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232.79</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30203</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咨询费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10.32</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资本性支出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9.54</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30106</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伙食补助费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90.88</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30204</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手续费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31001</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房屋建筑物购建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30107</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绩效工资</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83</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30205</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水费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31002</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办公设备购置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30108</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机关事业单位基本养老保险缴费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64.32</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30206</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电费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18.46</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31003</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专用设备购置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3.84</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30109</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职业年金缴费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26.16</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30207</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邮电费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0.89</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31005</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基础设施建设</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30110</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职工基本医疗保险缴费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29.73</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30208</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取暖费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31006</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大型修缮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30111</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公务员医疗补助缴费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5.66</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30209</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物业管理费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25.05</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31007</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信息网络及软件购置更新</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30112</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其他社会保障缴费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6.53</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30211</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差旅费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0.48</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31008</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物资储备</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30113</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住房公积金</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150.79</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30212</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因公出国（境）费用</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31009</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土地补偿</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30114</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医疗费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30213</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维修（护）费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10.14</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31010</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安置补助</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30199</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其他工资福利支出</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11.38</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30214</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租赁费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sz w:val="22"/>
                <w:szCs w:val="22"/>
              </w:rPr>
              <w:t xml:space="preserve">   2.20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31011</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地上附着物和青苗补偿</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对个人和家庭的补助</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135.5</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30215</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会议费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7.07</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31012</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拆迁补偿</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30301</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离休费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30216</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培训费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1.35</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31013</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公务用车购置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30302</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退休费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30217</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公务接待费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14.65</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31019</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其他交通工具购置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30303</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退职（役）费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30218</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专用材料费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31021</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文物和陈列品购置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30304</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抚恤金</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30224</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被装购置费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31022</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无形资产购置</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30305</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生活补助</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30225</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专用燃料费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31099</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其他资本性支出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30306</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救济费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30226</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劳务费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271.23</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其他支出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30307</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医疗费补助</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30227</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委托业务费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752.56</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39906</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赠与</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30308</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助学金</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30228</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工会经费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39907</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国家赔偿费用支出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30309</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奖励金</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135.50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30229</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福利费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39908</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对民间非营利组织和群众性自治组织补贴</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30310</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个人农业生产补贴</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30231</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公务用车运行维护费</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39999</w:t>
            </w:r>
          </w:p>
        </w:tc>
        <w:tc>
          <w:tcPr>
            <w:tcW w:w="33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其他支出</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30311</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代缴社会保险费</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30239</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其他交通费用</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27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30399</w:t>
            </w:r>
          </w:p>
        </w:tc>
        <w:tc>
          <w:tcPr>
            <w:tcW w:w="28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其他对个人和家庭的补助</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30240</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税金及附加费用</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27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1099" w:type="dxa"/>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856"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392"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20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30299</w:t>
            </w:r>
          </w:p>
        </w:tc>
        <w:tc>
          <w:tcPr>
            <w:tcW w:w="22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其他商品和服务支出</w:t>
            </w:r>
          </w:p>
        </w:tc>
        <w:tc>
          <w:tcPr>
            <w:tcW w:w="105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00"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3320"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27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3955" w:type="dxa"/>
            <w:gridSpan w:val="2"/>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人员经费合计</w:t>
            </w:r>
          </w:p>
        </w:tc>
        <w:tc>
          <w:tcPr>
            <w:tcW w:w="1392"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1615.35</w:t>
            </w:r>
          </w:p>
        </w:tc>
        <w:tc>
          <w:tcPr>
            <w:tcW w:w="8996" w:type="dxa"/>
            <w:gridSpan w:val="5"/>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公用经费合计</w:t>
            </w:r>
          </w:p>
        </w:tc>
        <w:tc>
          <w:tcPr>
            <w:tcW w:w="127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1318.39</w:t>
            </w:r>
          </w:p>
        </w:tc>
      </w:tr>
      <w:tr w:rsidR="00A22DE5">
        <w:trPr>
          <w:trHeight w:val="308"/>
        </w:trPr>
        <w:tc>
          <w:tcPr>
            <w:tcW w:w="15614" w:type="dxa"/>
            <w:gridSpan w:val="9"/>
            <w:tcBorders>
              <w:top w:val="nil"/>
              <w:left w:val="nil"/>
              <w:bottom w:val="nil"/>
              <w:right w:val="nil"/>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注：本表反映部门本年度一般公共预算财政拨款基本支出明细情况。</w:t>
            </w:r>
          </w:p>
        </w:tc>
      </w:tr>
    </w:tbl>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p w:rsidR="00A22DE5" w:rsidRDefault="00A22DE5">
      <w:pPr>
        <w:widowControl/>
        <w:jc w:val="center"/>
        <w:rPr>
          <w:rFonts w:ascii="Times New Roman" w:eastAsia="方正小标宋_GBK" w:hAnsi="Times New Roman" w:cs="方正小标宋_GBK"/>
          <w:color w:val="000000"/>
          <w:kern w:val="0"/>
          <w:sz w:val="36"/>
          <w:szCs w:val="36"/>
        </w:rPr>
      </w:pPr>
    </w:p>
    <w:tbl>
      <w:tblPr>
        <w:tblW w:w="15611" w:type="dxa"/>
        <w:tblLayout w:type="fixed"/>
        <w:tblLook w:val="04A0" w:firstRow="1" w:lastRow="0" w:firstColumn="1" w:lastColumn="0" w:noHBand="0" w:noVBand="1"/>
      </w:tblPr>
      <w:tblGrid>
        <w:gridCol w:w="1745"/>
        <w:gridCol w:w="1823"/>
        <w:gridCol w:w="1149"/>
        <w:gridCol w:w="1149"/>
        <w:gridCol w:w="1158"/>
        <w:gridCol w:w="1186"/>
        <w:gridCol w:w="1149"/>
        <w:gridCol w:w="1149"/>
        <w:gridCol w:w="1149"/>
        <w:gridCol w:w="1183"/>
        <w:gridCol w:w="1150"/>
        <w:gridCol w:w="1621"/>
      </w:tblGrid>
      <w:tr w:rsidR="00A22DE5">
        <w:trPr>
          <w:trHeight w:val="564"/>
        </w:trPr>
        <w:tc>
          <w:tcPr>
            <w:tcW w:w="15611" w:type="dxa"/>
            <w:gridSpan w:val="12"/>
            <w:tcBorders>
              <w:top w:val="nil"/>
              <w:left w:val="nil"/>
              <w:bottom w:val="nil"/>
              <w:right w:val="nil"/>
            </w:tcBorders>
            <w:shd w:val="clear" w:color="auto" w:fill="FFFFFF"/>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44"/>
                <w:szCs w:val="44"/>
                <w:lang w:bidi="ar"/>
              </w:rPr>
              <w:t>一般公共预算财政拨款“三公”经费支出决算表</w:t>
            </w:r>
          </w:p>
        </w:tc>
      </w:tr>
      <w:tr w:rsidR="00A22DE5">
        <w:trPr>
          <w:trHeight w:val="264"/>
        </w:trPr>
        <w:tc>
          <w:tcPr>
            <w:tcW w:w="1745"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823"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58"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8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4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83"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5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621"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公开07表</w:t>
            </w:r>
          </w:p>
        </w:tc>
      </w:tr>
      <w:tr w:rsidR="00A22DE5">
        <w:trPr>
          <w:trHeight w:val="264"/>
        </w:trPr>
        <w:tc>
          <w:tcPr>
            <w:tcW w:w="12840" w:type="dxa"/>
            <w:gridSpan w:val="10"/>
            <w:tcBorders>
              <w:top w:val="nil"/>
              <w:left w:val="nil"/>
              <w:bottom w:val="nil"/>
              <w:right w:val="nil"/>
            </w:tcBorders>
            <w:shd w:val="clear" w:color="auto" w:fill="FFFFFF"/>
            <w:vAlign w:val="bottom"/>
          </w:tcPr>
          <w:p w:rsidR="00A22DE5" w:rsidRDefault="00812CF7">
            <w:pPr>
              <w:rPr>
                <w:rFonts w:ascii="Arial" w:hAnsi="Arial" w:cs="Arial"/>
                <w:color w:val="000000"/>
                <w:sz w:val="20"/>
                <w:szCs w:val="20"/>
              </w:rPr>
            </w:pPr>
            <w:r>
              <w:rPr>
                <w:rFonts w:ascii="宋体" w:hAnsi="宋体" w:cs="宋体" w:hint="eastAsia"/>
                <w:color w:val="000000"/>
                <w:kern w:val="0"/>
                <w:sz w:val="20"/>
                <w:szCs w:val="20"/>
                <w:lang w:bidi="ar"/>
              </w:rPr>
              <w:t>部门：湘潭县河口镇人民政府</w:t>
            </w:r>
          </w:p>
        </w:tc>
        <w:tc>
          <w:tcPr>
            <w:tcW w:w="115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621"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8210"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预算数</w:t>
            </w:r>
          </w:p>
        </w:tc>
        <w:tc>
          <w:tcPr>
            <w:tcW w:w="7401" w:type="dxa"/>
            <w:gridSpan w:val="6"/>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r>
      <w:tr w:rsidR="00A22DE5">
        <w:trPr>
          <w:trHeight w:val="308"/>
        </w:trPr>
        <w:tc>
          <w:tcPr>
            <w:tcW w:w="1745" w:type="dxa"/>
            <w:vMerge w:val="restart"/>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823"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因公出国（境）费</w:t>
            </w:r>
          </w:p>
        </w:tc>
        <w:tc>
          <w:tcPr>
            <w:tcW w:w="3456" w:type="dxa"/>
            <w:gridSpan w:val="3"/>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公务用车购置及运行费</w:t>
            </w:r>
          </w:p>
        </w:tc>
        <w:tc>
          <w:tcPr>
            <w:tcW w:w="1186"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公务接待费</w:t>
            </w:r>
          </w:p>
        </w:tc>
        <w:tc>
          <w:tcPr>
            <w:tcW w:w="1149"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149"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因公出国（境）费</w:t>
            </w:r>
          </w:p>
        </w:tc>
        <w:tc>
          <w:tcPr>
            <w:tcW w:w="3482" w:type="dxa"/>
            <w:gridSpan w:val="3"/>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公务用车购置及运行费</w:t>
            </w:r>
          </w:p>
        </w:tc>
        <w:tc>
          <w:tcPr>
            <w:tcW w:w="1621"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公务接待费</w:t>
            </w:r>
          </w:p>
        </w:tc>
      </w:tr>
      <w:tr w:rsidR="00A22DE5">
        <w:trPr>
          <w:trHeight w:val="615"/>
        </w:trPr>
        <w:tc>
          <w:tcPr>
            <w:tcW w:w="1745" w:type="dxa"/>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823"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公务用车购置费</w:t>
            </w:r>
          </w:p>
        </w:tc>
        <w:tc>
          <w:tcPr>
            <w:tcW w:w="1158"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公务用车运行费</w:t>
            </w:r>
          </w:p>
        </w:tc>
        <w:tc>
          <w:tcPr>
            <w:tcW w:w="1186"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49"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49"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183"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公务用车购置费</w:t>
            </w:r>
          </w:p>
        </w:tc>
        <w:tc>
          <w:tcPr>
            <w:tcW w:w="1150"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公务用车运行费</w:t>
            </w:r>
          </w:p>
        </w:tc>
        <w:tc>
          <w:tcPr>
            <w:tcW w:w="162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08"/>
        </w:trPr>
        <w:tc>
          <w:tcPr>
            <w:tcW w:w="1745"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823"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158"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186"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183"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150"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6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r>
      <w:tr w:rsidR="00A22DE5">
        <w:trPr>
          <w:trHeight w:val="308"/>
        </w:trPr>
        <w:tc>
          <w:tcPr>
            <w:tcW w:w="1745" w:type="dxa"/>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16.68</w:t>
            </w:r>
          </w:p>
        </w:tc>
        <w:tc>
          <w:tcPr>
            <w:tcW w:w="1823"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58"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86"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16.68</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14.65</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49"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83"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50"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21" w:type="dxa"/>
            <w:tcBorders>
              <w:top w:val="nil"/>
              <w:left w:val="nil"/>
              <w:bottom w:val="single" w:sz="4" w:space="0" w:color="000000"/>
              <w:right w:val="single" w:sz="4" w:space="0" w:color="000000"/>
            </w:tcBorders>
            <w:shd w:val="clear" w:color="auto" w:fill="FFFFFF"/>
            <w:vAlign w:val="center"/>
          </w:tcPr>
          <w:p w:rsidR="00A22DE5" w:rsidRDefault="00812CF7">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14.65</w:t>
            </w:r>
          </w:p>
        </w:tc>
      </w:tr>
      <w:tr w:rsidR="00A22DE5">
        <w:trPr>
          <w:trHeight w:val="615"/>
        </w:trPr>
        <w:tc>
          <w:tcPr>
            <w:tcW w:w="15611" w:type="dxa"/>
            <w:gridSpan w:val="12"/>
            <w:tcBorders>
              <w:top w:val="nil"/>
              <w:left w:val="nil"/>
              <w:bottom w:val="nil"/>
              <w:right w:val="nil"/>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A22DE5" w:rsidRDefault="00A22DE5">
      <w:pPr>
        <w:widowControl/>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autoSpaceDE w:val="0"/>
        <w:autoSpaceDN w:val="0"/>
        <w:adjustRightInd w:val="0"/>
        <w:ind w:leftChars="150" w:left="315"/>
        <w:jc w:val="left"/>
        <w:rPr>
          <w:rFonts w:ascii="宋体" w:cs="Times New Roman"/>
          <w:kern w:val="0"/>
          <w:sz w:val="24"/>
          <w:szCs w:val="24"/>
        </w:rPr>
      </w:pPr>
    </w:p>
    <w:p w:rsidR="00A22DE5" w:rsidRDefault="00A22DE5">
      <w:pPr>
        <w:widowControl/>
        <w:jc w:val="left"/>
        <w:rPr>
          <w:rFonts w:ascii="黑体" w:eastAsia="黑体" w:hAnsi="黑体" w:cs="Times New Roman"/>
        </w:rPr>
      </w:pPr>
    </w:p>
    <w:tbl>
      <w:tblPr>
        <w:tblW w:w="15518" w:type="dxa"/>
        <w:tblInd w:w="96" w:type="dxa"/>
        <w:tblLayout w:type="fixed"/>
        <w:tblLook w:val="04A0" w:firstRow="1" w:lastRow="0" w:firstColumn="1" w:lastColumn="0" w:noHBand="0" w:noVBand="1"/>
      </w:tblPr>
      <w:tblGrid>
        <w:gridCol w:w="3763"/>
        <w:gridCol w:w="680"/>
        <w:gridCol w:w="332"/>
        <w:gridCol w:w="2163"/>
        <w:gridCol w:w="1197"/>
        <w:gridCol w:w="1197"/>
        <w:gridCol w:w="1197"/>
        <w:gridCol w:w="1197"/>
        <w:gridCol w:w="1197"/>
        <w:gridCol w:w="2595"/>
      </w:tblGrid>
      <w:tr w:rsidR="00A22DE5">
        <w:trPr>
          <w:trHeight w:val="384"/>
        </w:trPr>
        <w:tc>
          <w:tcPr>
            <w:tcW w:w="15518" w:type="dxa"/>
            <w:gridSpan w:val="10"/>
            <w:tcBorders>
              <w:top w:val="nil"/>
              <w:left w:val="nil"/>
              <w:bottom w:val="nil"/>
              <w:right w:val="nil"/>
            </w:tcBorders>
            <w:shd w:val="clear" w:color="auto" w:fill="FFFFFF"/>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lastRenderedPageBreak/>
              <w:t>政府性基金预算财政拨款收入支出决算表</w:t>
            </w:r>
          </w:p>
        </w:tc>
      </w:tr>
      <w:tr w:rsidR="00A22DE5">
        <w:trPr>
          <w:trHeight w:val="264"/>
        </w:trPr>
        <w:tc>
          <w:tcPr>
            <w:tcW w:w="3763"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68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3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163"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595"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公开08表</w:t>
            </w:r>
          </w:p>
        </w:tc>
      </w:tr>
      <w:tr w:rsidR="00A22DE5">
        <w:trPr>
          <w:trHeight w:val="264"/>
        </w:trPr>
        <w:tc>
          <w:tcPr>
            <w:tcW w:w="3763" w:type="dxa"/>
            <w:tcBorders>
              <w:top w:val="nil"/>
              <w:left w:val="nil"/>
              <w:bottom w:val="nil"/>
              <w:right w:val="nil"/>
            </w:tcBorders>
            <w:shd w:val="clear" w:color="auto" w:fill="FFFFFF"/>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680"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3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163"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1197"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595"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693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197" w:type="dxa"/>
            <w:vMerge w:val="restart"/>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年初结转和结余</w:t>
            </w:r>
          </w:p>
        </w:tc>
        <w:tc>
          <w:tcPr>
            <w:tcW w:w="1197" w:type="dxa"/>
            <w:vMerge w:val="restart"/>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本年收入</w:t>
            </w:r>
          </w:p>
        </w:tc>
        <w:tc>
          <w:tcPr>
            <w:tcW w:w="3591" w:type="dxa"/>
            <w:gridSpan w:val="3"/>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c>
          <w:tcPr>
            <w:tcW w:w="2595" w:type="dxa"/>
            <w:vMerge w:val="restart"/>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年末结转和结余</w:t>
            </w:r>
          </w:p>
        </w:tc>
      </w:tr>
      <w:tr w:rsidR="00A22DE5">
        <w:trPr>
          <w:trHeight w:val="312"/>
        </w:trPr>
        <w:tc>
          <w:tcPr>
            <w:tcW w:w="4775" w:type="dxa"/>
            <w:gridSpan w:val="3"/>
            <w:vMerge w:val="restart"/>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2163"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197"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1197"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c>
          <w:tcPr>
            <w:tcW w:w="2595"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12"/>
        </w:trPr>
        <w:tc>
          <w:tcPr>
            <w:tcW w:w="4775" w:type="dxa"/>
            <w:gridSpan w:val="3"/>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163"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595"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12"/>
        </w:trPr>
        <w:tc>
          <w:tcPr>
            <w:tcW w:w="4775" w:type="dxa"/>
            <w:gridSpan w:val="3"/>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163"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1197"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595" w:type="dxa"/>
            <w:vMerge/>
            <w:tcBorders>
              <w:top w:val="single" w:sz="4" w:space="0" w:color="000000"/>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08"/>
        </w:trPr>
        <w:tc>
          <w:tcPr>
            <w:tcW w:w="6938" w:type="dxa"/>
            <w:gridSpan w:val="4"/>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19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19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19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19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197"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2595"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r>
      <w:tr w:rsidR="00A22DE5">
        <w:trPr>
          <w:trHeight w:val="308"/>
        </w:trPr>
        <w:tc>
          <w:tcPr>
            <w:tcW w:w="6938" w:type="dxa"/>
            <w:gridSpan w:val="4"/>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r>
      <w:tr w:rsidR="00A22DE5">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A22DE5" w:rsidRDefault="00812CF7">
            <w:pPr>
              <w:jc w:val="left"/>
              <w:rPr>
                <w:rFonts w:ascii="宋体" w:hAnsi="宋体" w:cs="宋体"/>
                <w:color w:val="000000"/>
                <w:sz w:val="22"/>
                <w:szCs w:val="22"/>
              </w:rPr>
            </w:pPr>
            <w:r>
              <w:rPr>
                <w:rFonts w:ascii="宋体" w:hAnsi="宋体" w:cs="宋体" w:hint="eastAsia"/>
                <w:color w:val="000000"/>
                <w:sz w:val="22"/>
                <w:szCs w:val="22"/>
              </w:rPr>
              <w:t>本表无数据</w:t>
            </w: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4775"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163" w:type="dxa"/>
            <w:tcBorders>
              <w:top w:val="nil"/>
              <w:left w:val="nil"/>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1197"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595"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15518" w:type="dxa"/>
            <w:gridSpan w:val="10"/>
            <w:tcBorders>
              <w:top w:val="nil"/>
              <w:left w:val="nil"/>
              <w:bottom w:val="nil"/>
              <w:right w:val="nil"/>
            </w:tcBorders>
            <w:shd w:val="clear" w:color="auto" w:fill="FFFFFF"/>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注：本表反映部门本年度政府性基金预算财政拨款收入、支出及结转和结余情况。</w:t>
            </w:r>
          </w:p>
        </w:tc>
      </w:tr>
    </w:tbl>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p w:rsidR="00A22DE5" w:rsidRDefault="00A22DE5">
      <w:pPr>
        <w:widowControl/>
        <w:jc w:val="left"/>
        <w:rPr>
          <w:rFonts w:ascii="黑体" w:eastAsia="黑体" w:hAnsi="黑体" w:cs="Times New Roman"/>
        </w:rPr>
      </w:pPr>
    </w:p>
    <w:tbl>
      <w:tblPr>
        <w:tblW w:w="15614" w:type="dxa"/>
        <w:tblLayout w:type="fixed"/>
        <w:tblLook w:val="04A0" w:firstRow="1" w:lastRow="0" w:firstColumn="1" w:lastColumn="0" w:noHBand="0" w:noVBand="1"/>
      </w:tblPr>
      <w:tblGrid>
        <w:gridCol w:w="5609"/>
        <w:gridCol w:w="412"/>
        <w:gridCol w:w="415"/>
        <w:gridCol w:w="2036"/>
        <w:gridCol w:w="2011"/>
        <w:gridCol w:w="2011"/>
        <w:gridCol w:w="3120"/>
      </w:tblGrid>
      <w:tr w:rsidR="00A22DE5">
        <w:trPr>
          <w:trHeight w:val="384"/>
        </w:trPr>
        <w:tc>
          <w:tcPr>
            <w:tcW w:w="15614" w:type="dxa"/>
            <w:gridSpan w:val="7"/>
            <w:tcBorders>
              <w:top w:val="nil"/>
              <w:left w:val="nil"/>
              <w:bottom w:val="nil"/>
              <w:right w:val="nil"/>
            </w:tcBorders>
            <w:shd w:val="clear" w:color="auto" w:fill="auto"/>
            <w:vAlign w:val="bottom"/>
          </w:tcPr>
          <w:p w:rsidR="00A22DE5" w:rsidRDefault="00812CF7">
            <w:pPr>
              <w:jc w:val="center"/>
              <w:rPr>
                <w:rFonts w:ascii="Arial" w:hAnsi="Arial" w:cs="Arial"/>
                <w:color w:val="000000"/>
                <w:sz w:val="20"/>
                <w:szCs w:val="20"/>
              </w:rPr>
            </w:pPr>
            <w:r>
              <w:rPr>
                <w:rFonts w:ascii="宋体" w:hAnsi="宋体" w:cs="宋体" w:hint="eastAsia"/>
                <w:color w:val="000000"/>
                <w:kern w:val="0"/>
                <w:sz w:val="30"/>
                <w:szCs w:val="30"/>
                <w:lang w:bidi="ar"/>
              </w:rPr>
              <w:lastRenderedPageBreak/>
              <w:t>国有资本经营预算财政拨款支出决算表</w:t>
            </w:r>
          </w:p>
        </w:tc>
      </w:tr>
      <w:tr w:rsidR="00A22DE5">
        <w:trPr>
          <w:trHeight w:val="264"/>
        </w:trPr>
        <w:tc>
          <w:tcPr>
            <w:tcW w:w="5609"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41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415"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03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120"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公开09表</w:t>
            </w:r>
          </w:p>
        </w:tc>
      </w:tr>
      <w:tr w:rsidR="00A22DE5">
        <w:trPr>
          <w:trHeight w:val="264"/>
        </w:trPr>
        <w:tc>
          <w:tcPr>
            <w:tcW w:w="5609" w:type="dxa"/>
            <w:tcBorders>
              <w:top w:val="nil"/>
              <w:left w:val="nil"/>
              <w:bottom w:val="nil"/>
              <w:right w:val="nil"/>
            </w:tcBorders>
            <w:shd w:val="clear" w:color="auto" w:fill="FFFFFF"/>
            <w:vAlign w:val="bottom"/>
          </w:tcPr>
          <w:p w:rsidR="00A22DE5" w:rsidRDefault="00812CF7">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部门：湘潭县河口镇人民政府</w:t>
            </w:r>
          </w:p>
        </w:tc>
        <w:tc>
          <w:tcPr>
            <w:tcW w:w="412"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415"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036"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2011" w:type="dxa"/>
            <w:tcBorders>
              <w:top w:val="nil"/>
              <w:left w:val="nil"/>
              <w:bottom w:val="nil"/>
              <w:right w:val="nil"/>
            </w:tcBorders>
            <w:shd w:val="clear" w:color="auto" w:fill="FFFFFF"/>
            <w:vAlign w:val="bottom"/>
          </w:tcPr>
          <w:p w:rsidR="00A22DE5" w:rsidRDefault="00A22DE5">
            <w:pPr>
              <w:rPr>
                <w:rFonts w:ascii="Arial" w:hAnsi="Arial" w:cs="Arial"/>
                <w:color w:val="000000"/>
                <w:sz w:val="20"/>
                <w:szCs w:val="20"/>
              </w:rPr>
            </w:pPr>
          </w:p>
        </w:tc>
        <w:tc>
          <w:tcPr>
            <w:tcW w:w="3120" w:type="dxa"/>
            <w:tcBorders>
              <w:top w:val="nil"/>
              <w:left w:val="nil"/>
              <w:bottom w:val="nil"/>
              <w:right w:val="nil"/>
            </w:tcBorders>
            <w:shd w:val="clear" w:color="auto" w:fill="FFFFFF"/>
            <w:vAlign w:val="bottom"/>
          </w:tcPr>
          <w:p w:rsidR="00A22DE5" w:rsidRDefault="00812CF7">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A22DE5">
        <w:trPr>
          <w:trHeight w:val="308"/>
        </w:trPr>
        <w:tc>
          <w:tcPr>
            <w:tcW w:w="8472"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7142" w:type="dxa"/>
            <w:gridSpan w:val="3"/>
            <w:tcBorders>
              <w:top w:val="single" w:sz="4" w:space="0" w:color="000000"/>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r>
      <w:tr w:rsidR="00A22DE5">
        <w:trPr>
          <w:trHeight w:val="312"/>
        </w:trPr>
        <w:tc>
          <w:tcPr>
            <w:tcW w:w="6436" w:type="dxa"/>
            <w:gridSpan w:val="3"/>
            <w:vMerge w:val="restart"/>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2036"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2011"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2011"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3120" w:type="dxa"/>
            <w:vMerge w:val="restart"/>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r>
      <w:tr w:rsidR="00A22DE5">
        <w:trPr>
          <w:trHeight w:val="312"/>
        </w:trPr>
        <w:tc>
          <w:tcPr>
            <w:tcW w:w="6436" w:type="dxa"/>
            <w:gridSpan w:val="3"/>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036"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312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12"/>
        </w:trPr>
        <w:tc>
          <w:tcPr>
            <w:tcW w:w="6436" w:type="dxa"/>
            <w:gridSpan w:val="3"/>
            <w:vMerge/>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036"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2011"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c>
          <w:tcPr>
            <w:tcW w:w="3120" w:type="dxa"/>
            <w:vMerge/>
            <w:tcBorders>
              <w:top w:val="nil"/>
              <w:left w:val="nil"/>
              <w:bottom w:val="single" w:sz="4" w:space="0" w:color="000000"/>
              <w:right w:val="single" w:sz="4" w:space="0" w:color="000000"/>
            </w:tcBorders>
            <w:shd w:val="clear" w:color="auto" w:fill="FFFFFF"/>
            <w:vAlign w:val="center"/>
          </w:tcPr>
          <w:p w:rsidR="00A22DE5" w:rsidRDefault="00A22DE5">
            <w:pPr>
              <w:jc w:val="center"/>
              <w:rPr>
                <w:rFonts w:ascii="宋体" w:hAnsi="宋体" w:cs="宋体"/>
                <w:color w:val="000000"/>
                <w:sz w:val="22"/>
                <w:szCs w:val="22"/>
              </w:rPr>
            </w:pPr>
          </w:p>
        </w:tc>
      </w:tr>
      <w:tr w:rsidR="00A22DE5">
        <w:trPr>
          <w:trHeight w:val="308"/>
        </w:trPr>
        <w:tc>
          <w:tcPr>
            <w:tcW w:w="8472" w:type="dxa"/>
            <w:gridSpan w:val="4"/>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2011"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011"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3120" w:type="dxa"/>
            <w:tcBorders>
              <w:top w:val="nil"/>
              <w:left w:val="nil"/>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A22DE5">
        <w:trPr>
          <w:trHeight w:val="308"/>
        </w:trPr>
        <w:tc>
          <w:tcPr>
            <w:tcW w:w="8472" w:type="dxa"/>
            <w:gridSpan w:val="4"/>
            <w:tcBorders>
              <w:top w:val="nil"/>
              <w:left w:val="single" w:sz="4" w:space="0" w:color="000000"/>
              <w:bottom w:val="single" w:sz="4" w:space="0" w:color="000000"/>
              <w:right w:val="single" w:sz="4" w:space="0" w:color="000000"/>
            </w:tcBorders>
            <w:shd w:val="clear" w:color="auto" w:fill="FFFFFF"/>
            <w:vAlign w:val="center"/>
          </w:tcPr>
          <w:p w:rsidR="00A22DE5" w:rsidRDefault="00812CF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201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201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c>
          <w:tcPr>
            <w:tcW w:w="3120"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b/>
                <w:bCs/>
                <w:color w:val="000000"/>
                <w:sz w:val="22"/>
                <w:szCs w:val="22"/>
              </w:rPr>
            </w:pPr>
          </w:p>
        </w:tc>
      </w:tr>
      <w:tr w:rsidR="00A22DE5">
        <w:trPr>
          <w:trHeight w:val="308"/>
        </w:trPr>
        <w:tc>
          <w:tcPr>
            <w:tcW w:w="6436" w:type="dxa"/>
            <w:gridSpan w:val="3"/>
            <w:tcBorders>
              <w:top w:val="nil"/>
              <w:left w:val="single" w:sz="4" w:space="0" w:color="000000"/>
              <w:bottom w:val="single" w:sz="4" w:space="0" w:color="000000"/>
              <w:right w:val="single" w:sz="4" w:space="0" w:color="000000"/>
            </w:tcBorders>
            <w:shd w:val="clear" w:color="auto" w:fill="FFFFFF"/>
            <w:vAlign w:val="center"/>
          </w:tcPr>
          <w:p w:rsidR="00A22DE5" w:rsidRDefault="00A22DE5">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FFFFFF"/>
            <w:vAlign w:val="center"/>
          </w:tcPr>
          <w:p w:rsidR="00A22DE5" w:rsidRDefault="00812CF7">
            <w:pPr>
              <w:jc w:val="left"/>
              <w:rPr>
                <w:rFonts w:ascii="宋体" w:hAnsi="宋体" w:cs="宋体"/>
                <w:color w:val="000000"/>
                <w:sz w:val="22"/>
                <w:szCs w:val="22"/>
              </w:rPr>
            </w:pPr>
            <w:r>
              <w:rPr>
                <w:rFonts w:ascii="宋体" w:hAnsi="宋体" w:cs="宋体" w:hint="eastAsia"/>
                <w:color w:val="000000"/>
                <w:sz w:val="22"/>
                <w:szCs w:val="22"/>
              </w:rPr>
              <w:t>本表无数据</w:t>
            </w:r>
          </w:p>
        </w:tc>
        <w:tc>
          <w:tcPr>
            <w:tcW w:w="201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FFFFFF"/>
            <w:vAlign w:val="center"/>
          </w:tcPr>
          <w:p w:rsidR="00A22DE5" w:rsidRDefault="00A22DE5">
            <w:pPr>
              <w:jc w:val="right"/>
              <w:rPr>
                <w:rFonts w:ascii="宋体" w:hAnsi="宋体" w:cs="宋体"/>
                <w:color w:val="000000"/>
                <w:sz w:val="22"/>
                <w:szCs w:val="22"/>
              </w:rPr>
            </w:pPr>
          </w:p>
        </w:tc>
      </w:tr>
      <w:tr w:rsidR="00A22DE5">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r>
      <w:tr w:rsidR="00A22DE5">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r>
      <w:tr w:rsidR="00A22DE5">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r>
      <w:tr w:rsidR="00A22DE5">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r>
      <w:tr w:rsidR="00A22DE5">
        <w:trPr>
          <w:trHeight w:val="308"/>
        </w:trPr>
        <w:tc>
          <w:tcPr>
            <w:tcW w:w="6436" w:type="dxa"/>
            <w:gridSpan w:val="3"/>
            <w:tcBorders>
              <w:top w:val="nil"/>
              <w:left w:val="single" w:sz="4" w:space="0" w:color="000000"/>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36" w:type="dxa"/>
            <w:tcBorders>
              <w:top w:val="nil"/>
              <w:left w:val="nil"/>
              <w:bottom w:val="single" w:sz="4" w:space="0" w:color="000000"/>
              <w:right w:val="single" w:sz="4" w:space="0" w:color="000000"/>
            </w:tcBorders>
            <w:shd w:val="clear" w:color="auto" w:fill="auto"/>
            <w:vAlign w:val="center"/>
          </w:tcPr>
          <w:p w:rsidR="00A22DE5" w:rsidRDefault="00A22DE5">
            <w:pPr>
              <w:jc w:val="lef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2011"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c>
          <w:tcPr>
            <w:tcW w:w="3120" w:type="dxa"/>
            <w:tcBorders>
              <w:top w:val="nil"/>
              <w:left w:val="nil"/>
              <w:bottom w:val="single" w:sz="4" w:space="0" w:color="000000"/>
              <w:right w:val="single" w:sz="4" w:space="0" w:color="000000"/>
            </w:tcBorders>
            <w:shd w:val="clear" w:color="auto" w:fill="auto"/>
            <w:vAlign w:val="center"/>
          </w:tcPr>
          <w:p w:rsidR="00A22DE5" w:rsidRDefault="00A22DE5">
            <w:pPr>
              <w:jc w:val="right"/>
              <w:rPr>
                <w:rFonts w:ascii="宋体" w:hAnsi="宋体" w:cs="宋体"/>
                <w:color w:val="000000"/>
                <w:sz w:val="22"/>
                <w:szCs w:val="22"/>
              </w:rPr>
            </w:pPr>
          </w:p>
        </w:tc>
      </w:tr>
      <w:tr w:rsidR="00A22DE5">
        <w:trPr>
          <w:trHeight w:val="308"/>
        </w:trPr>
        <w:tc>
          <w:tcPr>
            <w:tcW w:w="15614" w:type="dxa"/>
            <w:gridSpan w:val="7"/>
            <w:tcBorders>
              <w:top w:val="nil"/>
              <w:left w:val="nil"/>
              <w:bottom w:val="nil"/>
              <w:right w:val="nil"/>
            </w:tcBorders>
            <w:shd w:val="clear" w:color="auto" w:fill="auto"/>
            <w:vAlign w:val="center"/>
          </w:tcPr>
          <w:p w:rsidR="00A22DE5" w:rsidRDefault="00812CF7">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注：本表反映部门本年度国有资本经营预算财政拨款支出情况。</w:t>
            </w:r>
          </w:p>
        </w:tc>
      </w:tr>
    </w:tbl>
    <w:p w:rsidR="00A22DE5" w:rsidRDefault="00A22DE5">
      <w:pPr>
        <w:pStyle w:val="Default"/>
        <w:rPr>
          <w:rFonts w:cs="Times New Roman"/>
          <w:sz w:val="72"/>
          <w:szCs w:val="72"/>
        </w:rPr>
        <w:sectPr w:rsidR="00A22DE5">
          <w:pgSz w:w="16838" w:h="11906" w:orient="landscape"/>
          <w:pgMar w:top="720" w:right="720" w:bottom="720" w:left="720" w:header="851" w:footer="992" w:gutter="0"/>
          <w:cols w:space="425"/>
          <w:docGrid w:type="lines" w:linePitch="312"/>
        </w:sectPr>
      </w:pPr>
    </w:p>
    <w:p w:rsidR="00A22DE5" w:rsidRDefault="00A22DE5">
      <w:pPr>
        <w:pStyle w:val="Default"/>
        <w:ind w:firstLineChars="350" w:firstLine="2520"/>
        <w:rPr>
          <w:rFonts w:cs="Times New Roman"/>
          <w:sz w:val="72"/>
          <w:szCs w:val="72"/>
        </w:rPr>
      </w:pPr>
    </w:p>
    <w:p w:rsidR="00A22DE5" w:rsidRDefault="00A22DE5">
      <w:pPr>
        <w:pStyle w:val="Default"/>
        <w:ind w:firstLineChars="350" w:firstLine="2520"/>
        <w:rPr>
          <w:rFonts w:cs="Times New Roman"/>
          <w:sz w:val="72"/>
          <w:szCs w:val="72"/>
        </w:rPr>
      </w:pPr>
    </w:p>
    <w:p w:rsidR="00A22DE5" w:rsidRDefault="00A22DE5">
      <w:pPr>
        <w:pStyle w:val="Default"/>
        <w:ind w:firstLineChars="350" w:firstLine="2520"/>
        <w:rPr>
          <w:rFonts w:cs="Times New Roman"/>
          <w:sz w:val="72"/>
          <w:szCs w:val="72"/>
        </w:rPr>
      </w:pPr>
    </w:p>
    <w:p w:rsidR="00A22DE5" w:rsidRDefault="00A22DE5">
      <w:pPr>
        <w:pStyle w:val="Default"/>
        <w:ind w:firstLineChars="350" w:firstLine="2520"/>
        <w:rPr>
          <w:rFonts w:cs="Times New Roman"/>
          <w:sz w:val="72"/>
          <w:szCs w:val="72"/>
        </w:rPr>
      </w:pPr>
    </w:p>
    <w:p w:rsidR="00A22DE5" w:rsidRDefault="00A22DE5">
      <w:pPr>
        <w:pStyle w:val="Default"/>
        <w:ind w:firstLineChars="350" w:firstLine="2520"/>
        <w:rPr>
          <w:rFonts w:ascii="宋体" w:eastAsia="宋体" w:hAnsi="宋体" w:cs="宋体"/>
          <w:sz w:val="72"/>
          <w:szCs w:val="72"/>
        </w:rPr>
      </w:pPr>
    </w:p>
    <w:p w:rsidR="00A22DE5" w:rsidRDefault="00812CF7">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A22DE5" w:rsidRDefault="00A22DE5">
      <w:pPr>
        <w:pStyle w:val="Default"/>
        <w:jc w:val="center"/>
        <w:rPr>
          <w:rFonts w:ascii="宋体" w:eastAsia="宋体" w:hAnsi="宋体" w:cs="宋体"/>
          <w:sz w:val="72"/>
          <w:szCs w:val="72"/>
        </w:rPr>
      </w:pPr>
    </w:p>
    <w:p w:rsidR="00A22DE5" w:rsidRDefault="00812CF7">
      <w:pPr>
        <w:pStyle w:val="Default"/>
        <w:jc w:val="center"/>
        <w:rPr>
          <w:rFonts w:ascii="宋体" w:eastAsia="宋体" w:hAnsi="宋体" w:cs="宋体"/>
          <w:sz w:val="72"/>
          <w:szCs w:val="72"/>
        </w:rPr>
      </w:pPr>
      <w:r>
        <w:rPr>
          <w:rFonts w:ascii="宋体" w:eastAsia="宋体" w:hAnsi="宋体" w:cs="宋体" w:hint="eastAsia"/>
          <w:sz w:val="72"/>
          <w:szCs w:val="72"/>
        </w:rPr>
        <w:t>2020年度部门决算情况说明</w:t>
      </w:r>
    </w:p>
    <w:p w:rsidR="00A22DE5" w:rsidRDefault="00A22DE5">
      <w:pPr>
        <w:widowControl/>
        <w:jc w:val="left"/>
        <w:rPr>
          <w:rFonts w:cs="Times New Roman"/>
          <w:sz w:val="70"/>
          <w:szCs w:val="70"/>
        </w:rPr>
        <w:sectPr w:rsidR="00A22DE5">
          <w:pgSz w:w="11906" w:h="16838"/>
          <w:pgMar w:top="720" w:right="720" w:bottom="720" w:left="720" w:header="851" w:footer="992" w:gutter="0"/>
          <w:cols w:space="425"/>
          <w:docGrid w:type="linesAndChars" w:linePitch="312"/>
        </w:sectPr>
      </w:pPr>
    </w:p>
    <w:p w:rsidR="00A22DE5" w:rsidRDefault="00812CF7">
      <w:pPr>
        <w:pStyle w:val="Default"/>
        <w:rPr>
          <w:rFonts w:hAnsi="黑体" w:cs="Times New Roman"/>
          <w:b/>
          <w:bCs/>
          <w:sz w:val="32"/>
          <w:szCs w:val="32"/>
        </w:rPr>
      </w:pPr>
      <w:r>
        <w:rPr>
          <w:rFonts w:hAnsi="黑体" w:hint="eastAsia"/>
          <w:b/>
          <w:bCs/>
          <w:sz w:val="32"/>
          <w:szCs w:val="32"/>
        </w:rPr>
        <w:lastRenderedPageBreak/>
        <w:t>一、收入支出决算总体情况说明</w:t>
      </w:r>
    </w:p>
    <w:p w:rsidR="00A22DE5" w:rsidRDefault="00812CF7">
      <w:pPr>
        <w:pStyle w:val="Default"/>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年度收、支总计5476.08万元。与上年相比，减少531.12</w:t>
      </w:r>
      <w:r>
        <w:rPr>
          <w:rFonts w:ascii="宋体" w:eastAsia="宋体" w:hAnsi="宋体" w:cs="宋体" w:hint="eastAsia"/>
          <w:color w:val="auto"/>
          <w:sz w:val="32"/>
          <w:szCs w:val="32"/>
        </w:rPr>
        <w:t>万元，减少9.7</w:t>
      </w:r>
      <w:r>
        <w:rPr>
          <w:rFonts w:ascii="宋体" w:eastAsia="宋体" w:hAnsi="宋体" w:cs="宋体"/>
          <w:color w:val="auto"/>
          <w:sz w:val="32"/>
          <w:szCs w:val="32"/>
        </w:rPr>
        <w:t>%</w:t>
      </w:r>
      <w:r>
        <w:rPr>
          <w:rFonts w:ascii="宋体" w:eastAsia="宋体" w:hAnsi="宋体" w:cs="宋体" w:hint="eastAsia"/>
          <w:color w:val="auto"/>
          <w:sz w:val="32"/>
          <w:szCs w:val="32"/>
        </w:rPr>
        <w:t>，主要是因为进一步压缩一般性预算支出，取得明显成效。</w:t>
      </w:r>
    </w:p>
    <w:p w:rsidR="00A22DE5" w:rsidRDefault="00812CF7">
      <w:pPr>
        <w:pStyle w:val="Default"/>
        <w:rPr>
          <w:rFonts w:hAnsi="黑体" w:cs="Times New Roman"/>
          <w:b/>
          <w:bCs/>
          <w:sz w:val="32"/>
          <w:szCs w:val="32"/>
        </w:rPr>
      </w:pPr>
      <w:r>
        <w:rPr>
          <w:rFonts w:hAnsi="黑体" w:hint="eastAsia"/>
          <w:b/>
          <w:bCs/>
          <w:sz w:val="32"/>
          <w:szCs w:val="32"/>
        </w:rPr>
        <w:t>二、收入决算情况说明</w:t>
      </w:r>
    </w:p>
    <w:p w:rsidR="00A22DE5" w:rsidRDefault="00812CF7">
      <w:pPr>
        <w:pStyle w:val="Default"/>
        <w:ind w:firstLineChars="200" w:firstLine="640"/>
        <w:jc w:val="both"/>
        <w:rPr>
          <w:rFonts w:ascii="宋体" w:eastAsia="宋体" w:hAnsi="宋体" w:cs="Times New Roman"/>
          <w:sz w:val="32"/>
          <w:szCs w:val="32"/>
        </w:rPr>
      </w:pPr>
      <w:r>
        <w:rPr>
          <w:rFonts w:ascii="宋体" w:eastAsia="宋体" w:hAnsi="宋体" w:cs="宋体" w:hint="eastAsia"/>
          <w:sz w:val="32"/>
          <w:szCs w:val="32"/>
        </w:rPr>
        <w:t>本年收入合计5476.08万元，其中：财政拨款收入2994.74万元，占54.69</w:t>
      </w:r>
      <w:r>
        <w:rPr>
          <w:rFonts w:ascii="宋体" w:eastAsia="宋体" w:hAnsi="宋体" w:cs="宋体"/>
          <w:sz w:val="32"/>
          <w:szCs w:val="32"/>
        </w:rPr>
        <w:t>%</w:t>
      </w:r>
      <w:r>
        <w:rPr>
          <w:rFonts w:ascii="宋体" w:eastAsia="宋体" w:hAnsi="宋体" w:cs="宋体" w:hint="eastAsia"/>
          <w:sz w:val="32"/>
          <w:szCs w:val="32"/>
        </w:rPr>
        <w:t>；上级补助收入0万元，占0</w:t>
      </w:r>
      <w:r>
        <w:rPr>
          <w:rFonts w:ascii="宋体" w:eastAsia="宋体" w:hAnsi="宋体" w:cs="宋体"/>
          <w:sz w:val="32"/>
          <w:szCs w:val="32"/>
        </w:rPr>
        <w:t>%</w:t>
      </w:r>
      <w:r>
        <w:rPr>
          <w:rFonts w:ascii="宋体" w:eastAsia="宋体" w:hAnsi="宋体" w:cs="宋体" w:hint="eastAsia"/>
          <w:sz w:val="32"/>
          <w:szCs w:val="32"/>
        </w:rPr>
        <w:t>；事业收入0万元，占0</w:t>
      </w:r>
      <w:r>
        <w:rPr>
          <w:rFonts w:ascii="宋体" w:eastAsia="宋体" w:hAnsi="宋体" w:cs="宋体"/>
          <w:sz w:val="32"/>
          <w:szCs w:val="32"/>
        </w:rPr>
        <w:t>%</w:t>
      </w:r>
      <w:r>
        <w:rPr>
          <w:rFonts w:ascii="宋体" w:eastAsia="宋体" w:hAnsi="宋体" w:cs="宋体" w:hint="eastAsia"/>
          <w:sz w:val="32"/>
          <w:szCs w:val="32"/>
        </w:rPr>
        <w:t>；经营收入0万元，占0</w:t>
      </w:r>
      <w:r>
        <w:rPr>
          <w:rFonts w:ascii="宋体" w:eastAsia="宋体" w:hAnsi="宋体" w:cs="宋体"/>
          <w:sz w:val="32"/>
          <w:szCs w:val="32"/>
        </w:rPr>
        <w:t>%</w:t>
      </w:r>
      <w:r>
        <w:rPr>
          <w:rFonts w:ascii="宋体" w:eastAsia="宋体" w:hAnsi="宋体" w:cs="宋体" w:hint="eastAsia"/>
          <w:sz w:val="32"/>
          <w:szCs w:val="32"/>
        </w:rPr>
        <w:t>；附属单位上缴收入0万元，占0</w:t>
      </w:r>
      <w:r>
        <w:rPr>
          <w:rFonts w:ascii="宋体" w:eastAsia="宋体" w:hAnsi="宋体" w:cs="宋体"/>
          <w:sz w:val="32"/>
          <w:szCs w:val="32"/>
        </w:rPr>
        <w:t>%</w:t>
      </w:r>
      <w:r>
        <w:rPr>
          <w:rFonts w:ascii="宋体" w:eastAsia="宋体" w:hAnsi="宋体" w:cs="宋体" w:hint="eastAsia"/>
          <w:sz w:val="32"/>
          <w:szCs w:val="32"/>
        </w:rPr>
        <w:t>；其他收入2481.34万元，占45.31</w:t>
      </w:r>
      <w:r>
        <w:rPr>
          <w:rFonts w:ascii="宋体" w:eastAsia="宋体" w:hAnsi="宋体" w:cs="宋体"/>
          <w:sz w:val="32"/>
          <w:szCs w:val="32"/>
        </w:rPr>
        <w:t>%</w:t>
      </w:r>
      <w:r>
        <w:rPr>
          <w:rFonts w:ascii="宋体" w:eastAsia="宋体" w:hAnsi="宋体" w:cs="宋体" w:hint="eastAsia"/>
          <w:sz w:val="32"/>
          <w:szCs w:val="32"/>
        </w:rPr>
        <w:t>。</w:t>
      </w:r>
    </w:p>
    <w:p w:rsidR="00A22DE5" w:rsidRDefault="00812CF7">
      <w:pPr>
        <w:pStyle w:val="Default"/>
        <w:rPr>
          <w:rFonts w:hAnsi="黑体" w:cs="Times New Roman"/>
          <w:b/>
          <w:bCs/>
          <w:sz w:val="32"/>
          <w:szCs w:val="32"/>
        </w:rPr>
      </w:pPr>
      <w:r>
        <w:rPr>
          <w:rFonts w:hAnsi="黑体" w:hint="eastAsia"/>
          <w:b/>
          <w:bCs/>
          <w:sz w:val="32"/>
          <w:szCs w:val="32"/>
        </w:rPr>
        <w:t>三、支出决算情况说明</w:t>
      </w:r>
    </w:p>
    <w:p w:rsidR="00A22DE5" w:rsidRDefault="00812CF7">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本年支出合计5476.08万元，其中：基本支出4856.33万元，占88.68</w:t>
      </w:r>
      <w:r>
        <w:rPr>
          <w:rFonts w:ascii="宋体" w:eastAsia="宋体" w:hAnsi="宋体" w:cs="宋体"/>
          <w:sz w:val="32"/>
          <w:szCs w:val="32"/>
        </w:rPr>
        <w:t>%</w:t>
      </w:r>
      <w:r>
        <w:rPr>
          <w:rFonts w:ascii="宋体" w:eastAsia="宋体" w:hAnsi="宋体" w:cs="宋体" w:hint="eastAsia"/>
          <w:sz w:val="32"/>
          <w:szCs w:val="32"/>
        </w:rPr>
        <w:t>；项目支出619.75万元，占11.32</w:t>
      </w:r>
      <w:r>
        <w:rPr>
          <w:rFonts w:ascii="宋体" w:eastAsia="宋体" w:hAnsi="宋体" w:cs="宋体"/>
          <w:sz w:val="32"/>
          <w:szCs w:val="32"/>
        </w:rPr>
        <w:t>%</w:t>
      </w:r>
      <w:r>
        <w:rPr>
          <w:rFonts w:ascii="宋体" w:eastAsia="宋体" w:hAnsi="宋体" w:cs="宋体" w:hint="eastAsia"/>
          <w:sz w:val="32"/>
          <w:szCs w:val="32"/>
        </w:rPr>
        <w:t>；上缴上级支出0万元，占0</w:t>
      </w:r>
      <w:r>
        <w:rPr>
          <w:rFonts w:ascii="宋体" w:eastAsia="宋体" w:hAnsi="宋体" w:cs="宋体"/>
          <w:sz w:val="32"/>
          <w:szCs w:val="32"/>
        </w:rPr>
        <w:t>%</w:t>
      </w:r>
      <w:r>
        <w:rPr>
          <w:rFonts w:ascii="宋体" w:eastAsia="宋体" w:hAnsi="宋体" w:cs="宋体" w:hint="eastAsia"/>
          <w:sz w:val="32"/>
          <w:szCs w:val="32"/>
        </w:rPr>
        <w:t>；经营支出0万元，占0</w:t>
      </w:r>
      <w:r>
        <w:rPr>
          <w:rFonts w:ascii="宋体" w:eastAsia="宋体" w:hAnsi="宋体" w:cs="宋体"/>
          <w:sz w:val="32"/>
          <w:szCs w:val="32"/>
        </w:rPr>
        <w:t>%</w:t>
      </w:r>
      <w:r>
        <w:rPr>
          <w:rFonts w:ascii="宋体" w:eastAsia="宋体" w:hAnsi="宋体" w:cs="宋体" w:hint="eastAsia"/>
          <w:sz w:val="32"/>
          <w:szCs w:val="32"/>
        </w:rPr>
        <w:t>；对附属单位补助支出0万元，占0</w:t>
      </w:r>
      <w:r>
        <w:rPr>
          <w:rFonts w:ascii="宋体" w:eastAsia="宋体" w:hAnsi="宋体" w:cs="宋体"/>
          <w:sz w:val="32"/>
          <w:szCs w:val="32"/>
        </w:rPr>
        <w:t>%</w:t>
      </w:r>
      <w:r>
        <w:rPr>
          <w:rFonts w:ascii="宋体" w:eastAsia="宋体" w:hAnsi="宋体" w:cs="宋体" w:hint="eastAsia"/>
          <w:sz w:val="32"/>
          <w:szCs w:val="32"/>
        </w:rPr>
        <w:t>。</w:t>
      </w:r>
    </w:p>
    <w:p w:rsidR="00A22DE5" w:rsidRDefault="00812CF7">
      <w:pPr>
        <w:pStyle w:val="Default"/>
        <w:rPr>
          <w:rFonts w:hAnsi="黑体" w:cs="Times New Roman"/>
          <w:b/>
          <w:bCs/>
          <w:sz w:val="32"/>
          <w:szCs w:val="32"/>
        </w:rPr>
      </w:pPr>
      <w:r>
        <w:rPr>
          <w:rFonts w:hAnsi="黑体" w:hint="eastAsia"/>
          <w:b/>
          <w:bCs/>
          <w:sz w:val="32"/>
          <w:szCs w:val="32"/>
        </w:rPr>
        <w:t>四、财政拨款收入支出决算总体情况说明</w:t>
      </w:r>
    </w:p>
    <w:p w:rsidR="00A22DE5" w:rsidRDefault="00812CF7">
      <w:pPr>
        <w:pStyle w:val="Default"/>
        <w:rPr>
          <w:rFonts w:ascii="宋体" w:eastAsia="宋体" w:hAnsi="宋体" w:cs="Times New Roman"/>
          <w:color w:val="FF0000"/>
          <w:sz w:val="32"/>
          <w:szCs w:val="32"/>
        </w:rPr>
      </w:pPr>
      <w:r>
        <w:rPr>
          <w:rFonts w:ascii="宋体" w:eastAsia="宋体" w:hAnsi="宋体" w:cs="宋体"/>
          <w:sz w:val="32"/>
          <w:szCs w:val="32"/>
        </w:rPr>
        <w:t xml:space="preserve">    2020</w:t>
      </w:r>
      <w:r>
        <w:rPr>
          <w:rFonts w:ascii="宋体" w:eastAsia="宋体" w:hAnsi="宋体" w:cs="宋体" w:hint="eastAsia"/>
          <w:sz w:val="32"/>
          <w:szCs w:val="32"/>
        </w:rPr>
        <w:t>年度财政拨款收、支总计2994.74万元，与上年相比</w:t>
      </w:r>
      <w:r>
        <w:rPr>
          <w:rFonts w:ascii="宋体" w:eastAsia="宋体" w:hAnsi="宋体" w:cs="宋体" w:hint="eastAsia"/>
          <w:color w:val="auto"/>
          <w:sz w:val="32"/>
          <w:szCs w:val="32"/>
        </w:rPr>
        <w:t>，减少239.26万元</w:t>
      </w:r>
      <w:r>
        <w:rPr>
          <w:rFonts w:ascii="宋体" w:eastAsia="宋体" w:hAnsi="宋体" w:cs="宋体"/>
          <w:color w:val="auto"/>
          <w:sz w:val="32"/>
          <w:szCs w:val="32"/>
        </w:rPr>
        <w:t>,</w:t>
      </w:r>
      <w:r>
        <w:rPr>
          <w:rFonts w:ascii="宋体" w:eastAsia="宋体" w:hAnsi="宋体" w:cs="宋体" w:hint="eastAsia"/>
          <w:color w:val="auto"/>
          <w:sz w:val="32"/>
          <w:szCs w:val="32"/>
        </w:rPr>
        <w:t>减少7.98</w:t>
      </w:r>
      <w:r>
        <w:rPr>
          <w:rFonts w:ascii="宋体" w:eastAsia="宋体" w:hAnsi="宋体" w:cs="宋体"/>
          <w:color w:val="auto"/>
          <w:sz w:val="32"/>
          <w:szCs w:val="32"/>
        </w:rPr>
        <w:t>%</w:t>
      </w:r>
      <w:r>
        <w:rPr>
          <w:rFonts w:ascii="宋体" w:eastAsia="宋体" w:hAnsi="宋体" w:cs="宋体" w:hint="eastAsia"/>
          <w:color w:val="auto"/>
          <w:sz w:val="32"/>
          <w:szCs w:val="32"/>
        </w:rPr>
        <w:t>，主要是因为进一步压缩一般性预算支出，取得明显成效。</w:t>
      </w:r>
    </w:p>
    <w:p w:rsidR="00A22DE5" w:rsidRDefault="00812CF7">
      <w:pPr>
        <w:pStyle w:val="Default"/>
        <w:rPr>
          <w:rFonts w:hAnsi="黑体" w:cs="Times New Roman"/>
          <w:b/>
          <w:bCs/>
          <w:sz w:val="32"/>
          <w:szCs w:val="32"/>
        </w:rPr>
      </w:pPr>
      <w:r>
        <w:rPr>
          <w:rFonts w:hAnsi="黑体" w:hint="eastAsia"/>
          <w:b/>
          <w:bCs/>
          <w:sz w:val="32"/>
          <w:szCs w:val="32"/>
        </w:rPr>
        <w:t>五、一般公共预算财政拨款支出决算情况说明</w:t>
      </w:r>
    </w:p>
    <w:p w:rsidR="00A22DE5" w:rsidRDefault="00812CF7">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A22DE5" w:rsidRDefault="00812CF7">
      <w:pPr>
        <w:pStyle w:val="Default"/>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年度财政拨款支出2994.74万元，占本年支出合计的54.69</w:t>
      </w:r>
      <w:r>
        <w:rPr>
          <w:rFonts w:ascii="宋体" w:eastAsia="宋体" w:hAnsi="宋体" w:cs="宋体"/>
          <w:sz w:val="32"/>
          <w:szCs w:val="32"/>
        </w:rPr>
        <w:t>%</w:t>
      </w:r>
      <w:r>
        <w:rPr>
          <w:rFonts w:ascii="宋体" w:eastAsia="宋体" w:hAnsi="宋体" w:cs="宋体" w:hint="eastAsia"/>
          <w:sz w:val="32"/>
          <w:szCs w:val="32"/>
        </w:rPr>
        <w:t>，与上年相比，财政拨款支出减少239.26万元，减少7.98</w:t>
      </w:r>
      <w:r>
        <w:rPr>
          <w:rFonts w:ascii="宋体" w:eastAsia="宋体" w:hAnsi="宋体" w:cs="宋体"/>
          <w:sz w:val="32"/>
          <w:szCs w:val="32"/>
        </w:rPr>
        <w:t>%</w:t>
      </w:r>
      <w:r>
        <w:rPr>
          <w:rFonts w:ascii="宋体" w:eastAsia="宋体" w:hAnsi="宋体" w:cs="宋体" w:hint="eastAsia"/>
          <w:sz w:val="32"/>
          <w:szCs w:val="32"/>
        </w:rPr>
        <w:t>，</w:t>
      </w:r>
      <w:r>
        <w:rPr>
          <w:rFonts w:ascii="宋体" w:eastAsia="宋体" w:hAnsi="宋体" w:cs="宋体" w:hint="eastAsia"/>
          <w:color w:val="auto"/>
          <w:sz w:val="32"/>
          <w:szCs w:val="32"/>
        </w:rPr>
        <w:t>主要是因为进一步压缩一般性预算支出，取得明显成效。</w:t>
      </w:r>
    </w:p>
    <w:p w:rsidR="00A22DE5" w:rsidRDefault="00812CF7">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A22DE5" w:rsidRDefault="00812CF7">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年度财政拨款支出2994.74万元，主要用于以下方面：一般公共服务支出1381.5万元，占46.13</w:t>
      </w:r>
      <w:r>
        <w:rPr>
          <w:rFonts w:ascii="宋体" w:eastAsia="宋体" w:hAnsi="宋体" w:cs="宋体"/>
          <w:sz w:val="32"/>
          <w:szCs w:val="32"/>
        </w:rPr>
        <w:t>%</w:t>
      </w:r>
      <w:r>
        <w:rPr>
          <w:rFonts w:ascii="宋体" w:eastAsia="宋体" w:hAnsi="宋体" w:cs="宋体" w:hint="eastAsia"/>
          <w:sz w:val="32"/>
          <w:szCs w:val="32"/>
        </w:rPr>
        <w:t>；公共安全支出37.7万元，占1.26%；文化旅游体育与传媒支出106.68万元，占3.56%；社会保障和就业支出12.56万</w:t>
      </w:r>
      <w:r>
        <w:rPr>
          <w:rFonts w:ascii="宋体" w:eastAsia="宋体" w:hAnsi="宋体" w:cs="宋体" w:hint="eastAsia"/>
          <w:sz w:val="32"/>
          <w:szCs w:val="32"/>
        </w:rPr>
        <w:lastRenderedPageBreak/>
        <w:t>元，占0.42%；卫生健康支出98.32万元，占3.28</w:t>
      </w:r>
      <w:r>
        <w:rPr>
          <w:rFonts w:ascii="宋体" w:eastAsia="宋体" w:hAnsi="宋体" w:cs="宋体"/>
          <w:sz w:val="32"/>
          <w:szCs w:val="32"/>
        </w:rPr>
        <w:t>%</w:t>
      </w:r>
      <w:r>
        <w:rPr>
          <w:rFonts w:ascii="宋体" w:eastAsia="宋体" w:hAnsi="宋体" w:cs="宋体" w:hint="eastAsia"/>
          <w:sz w:val="32"/>
          <w:szCs w:val="32"/>
        </w:rPr>
        <w:t>；城乡社区支出94.29万元，占3.15</w:t>
      </w:r>
      <w:r>
        <w:rPr>
          <w:rFonts w:ascii="宋体" w:eastAsia="宋体" w:hAnsi="宋体" w:cs="宋体"/>
          <w:sz w:val="32"/>
          <w:szCs w:val="32"/>
        </w:rPr>
        <w:t>%</w:t>
      </w:r>
      <w:r>
        <w:rPr>
          <w:rFonts w:ascii="宋体" w:eastAsia="宋体" w:hAnsi="宋体" w:cs="宋体" w:hint="eastAsia"/>
          <w:sz w:val="32"/>
          <w:szCs w:val="32"/>
        </w:rPr>
        <w:t>；农林水支出1263.69万元，占42.2</w:t>
      </w:r>
      <w:r>
        <w:rPr>
          <w:rFonts w:ascii="宋体" w:eastAsia="宋体" w:hAnsi="宋体" w:cs="宋体"/>
          <w:sz w:val="32"/>
          <w:szCs w:val="32"/>
        </w:rPr>
        <w:t>%</w:t>
      </w:r>
      <w:r>
        <w:rPr>
          <w:rFonts w:ascii="宋体" w:eastAsia="宋体" w:hAnsi="宋体" w:cs="宋体" w:hint="eastAsia"/>
          <w:sz w:val="32"/>
          <w:szCs w:val="32"/>
        </w:rPr>
        <w:t>。</w:t>
      </w:r>
    </w:p>
    <w:p w:rsidR="00A22DE5" w:rsidRDefault="00812CF7">
      <w:pPr>
        <w:pStyle w:val="Default"/>
        <w:ind w:firstLineChars="250" w:firstLine="80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年度财政拨款支出年初预算数为3128.84万元，支出决算数为2994.74万元，完成年初预算的95.71</w:t>
      </w:r>
      <w:r>
        <w:rPr>
          <w:rFonts w:ascii="宋体" w:eastAsia="宋体" w:hAnsi="宋体" w:cs="宋体"/>
          <w:sz w:val="32"/>
          <w:szCs w:val="32"/>
        </w:rPr>
        <w:t>%</w:t>
      </w:r>
      <w:r>
        <w:rPr>
          <w:rFonts w:ascii="宋体" w:eastAsia="宋体" w:hAnsi="宋体" w:cs="宋体" w:hint="eastAsia"/>
          <w:sz w:val="32"/>
          <w:szCs w:val="32"/>
        </w:rPr>
        <w:t>，其中：</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、一般公共服务（类） 政府办公厅（室）及相关机构事务（款） 行政运行（项）。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年初预算为1345.26万元，支出决算为1239.56万元，完成年初预算的92.14</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2、一般公共服务（类） 政府办公厅（室）及相关机构事务（款） 其他政府办公厅(室)及相关机构事务支出（项）。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年初预算为51.16万元，支出决算为46.9万元，完成年初预算的91.67</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3、一般公共服务（类） 发展与改革事务（款） 其他发展与改革事务支出（项）。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年初预算为49.36万元，支出决算为42.02万元，完成年初预算的85.12</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4、一般公共服务（类） 财政事务（款） 行政运行（项）。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年初预算为62.21万元，支出决算为53.02万元，完成年初预算的85.23</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numPr>
          <w:ilvl w:val="0"/>
          <w:numId w:val="2"/>
        </w:numPr>
        <w:ind w:firstLineChars="250" w:firstLine="800"/>
        <w:rPr>
          <w:rFonts w:ascii="宋体" w:eastAsia="宋体" w:hAnsi="宋体" w:cs="宋体"/>
          <w:sz w:val="32"/>
          <w:szCs w:val="32"/>
        </w:rPr>
      </w:pPr>
      <w:r>
        <w:rPr>
          <w:rFonts w:ascii="宋体" w:eastAsia="宋体" w:hAnsi="宋体" w:cs="宋体" w:hint="eastAsia"/>
          <w:sz w:val="32"/>
          <w:szCs w:val="32"/>
        </w:rPr>
        <w:lastRenderedPageBreak/>
        <w:t>公共安全支出（类）其他公共安全支出（款）其他公共安全支出（项）。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年初预算为48.29万元，支出决算为37.7万元，完成年初预算的78.07</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6、</w:t>
      </w:r>
      <w:r>
        <w:rPr>
          <w:rFonts w:ascii="宋体" w:eastAsia="宋体" w:hAnsi="宋体" w:cs="宋体" w:hint="eastAsia"/>
          <w:color w:val="auto"/>
          <w:sz w:val="32"/>
          <w:szCs w:val="32"/>
        </w:rPr>
        <w:t>文化旅游体育与传媒</w:t>
      </w:r>
      <w:r>
        <w:rPr>
          <w:rFonts w:ascii="宋体" w:eastAsia="宋体" w:hAnsi="宋体" w:cs="宋体" w:hint="eastAsia"/>
          <w:sz w:val="32"/>
          <w:szCs w:val="32"/>
        </w:rPr>
        <w:t>（类） 文化和旅游（款） 其他文化和旅游支出（项）。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年初预算为126.12万元，支出决算为106.68万元，完成年初预算的84.59</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7、社会保障和就业（类） 退役军人管理事务（款） 其他退役军人事务管理支出（项）。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年初预算为16.89万元，支出决算为12.56万元，完成年初预算的74.36</w:t>
      </w:r>
      <w:r>
        <w:rPr>
          <w:rFonts w:ascii="宋体" w:eastAsia="宋体" w:hAnsi="宋体" w:cs="宋体"/>
          <w:sz w:val="32"/>
          <w:szCs w:val="32"/>
        </w:rPr>
        <w:t>%</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00" w:firstLine="640"/>
        <w:rPr>
          <w:rFonts w:ascii="宋体" w:eastAsia="宋体" w:hAnsi="宋体" w:cs="宋体"/>
          <w:color w:val="auto"/>
          <w:sz w:val="32"/>
          <w:szCs w:val="32"/>
        </w:rPr>
      </w:pPr>
      <w:r>
        <w:rPr>
          <w:rFonts w:ascii="宋体" w:eastAsia="宋体" w:hAnsi="宋体" w:cs="宋体" w:hint="eastAsia"/>
          <w:color w:val="auto"/>
          <w:sz w:val="32"/>
          <w:szCs w:val="32"/>
        </w:rPr>
        <w:t>8、卫生健康（类） 卫生健康管理事务（款） 其他卫生健康管理事务支出（项）。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年初预算为108.28万元，支出决算为98.32万元，完成年初预算的90.8%，决算数小于年初预算数的主要原因是：进一步压缩一般性预算支出，取得明显成效。</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9、城乡社区支出（类） 城乡社区管理事务（款） 城管执法（项）。</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年初预算为61.26万元，支出决算为52.2万元，完成年初预算的5.21%</w:t>
      </w:r>
      <w:r>
        <w:rPr>
          <w:rFonts w:ascii="宋体" w:eastAsia="宋体" w:hAnsi="宋体" w:cs="宋体" w:hint="eastAsia"/>
          <w:sz w:val="32"/>
          <w:szCs w:val="32"/>
        </w:rPr>
        <w:t>，决算数小于年初预算数的主要原因是：进一步压缩一般性预算支</w:t>
      </w:r>
      <w:r>
        <w:rPr>
          <w:rFonts w:ascii="宋体" w:eastAsia="宋体" w:hAnsi="宋体" w:cs="宋体" w:hint="eastAsia"/>
          <w:sz w:val="32"/>
          <w:szCs w:val="32"/>
        </w:rPr>
        <w:lastRenderedPageBreak/>
        <w:t>出，取得明显成效。</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10、城乡社区支出（类） 城乡社区环境卫生（款） 城乡社区环境卫生（项）。</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color w:val="auto"/>
          <w:sz w:val="32"/>
          <w:szCs w:val="32"/>
        </w:rPr>
        <w:t>年初预算为56.16万元，支出决算为42.09万元，完成年初预算的74.95%</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11、农林水支出（类） 农业农村（款） 农村社会事务（项） 。</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年初预算为789.16万元，支出决算为616.83万元，完成年初预算的78.16%</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12、农林水支出（类） 农业综合改革（款）对村一事一议的补助（项） 。</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年初预算为86万元，支出决算为61万元，完成年初预算的70.93%</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13、农林水支出（类）农业综合改革（款） 对村民委员会和村党支部的补助（项） 。</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color w:val="auto"/>
          <w:sz w:val="32"/>
          <w:szCs w:val="32"/>
        </w:rPr>
        <w:t>年初预算为328.69万元，支出决算为271.23万元，完成年初预算的82.52%</w:t>
      </w:r>
      <w:r>
        <w:rPr>
          <w:rFonts w:ascii="宋体" w:eastAsia="宋体" w:hAnsi="宋体" w:cs="宋体" w:hint="eastAsia"/>
          <w:sz w:val="32"/>
          <w:szCs w:val="32"/>
        </w:rPr>
        <w:t>，决算数小于年初预算数的主要原因是：进一步压缩一般性预算支出，取得明显成效。</w:t>
      </w:r>
    </w:p>
    <w:p w:rsidR="00A22DE5" w:rsidRDefault="00812CF7">
      <w:pPr>
        <w:pStyle w:val="Default"/>
        <w:numPr>
          <w:ilvl w:val="0"/>
          <w:numId w:val="3"/>
        </w:numPr>
        <w:ind w:firstLineChars="250" w:firstLine="800"/>
        <w:rPr>
          <w:rFonts w:ascii="宋体" w:eastAsia="宋体" w:hAnsi="宋体" w:cs="宋体"/>
          <w:color w:val="auto"/>
          <w:sz w:val="32"/>
          <w:szCs w:val="32"/>
        </w:rPr>
      </w:pPr>
      <w:r>
        <w:rPr>
          <w:rFonts w:ascii="宋体" w:eastAsia="宋体" w:hAnsi="宋体" w:cs="宋体" w:hint="eastAsia"/>
          <w:color w:val="auto"/>
          <w:sz w:val="32"/>
          <w:szCs w:val="32"/>
        </w:rPr>
        <w:t>农林水支出（类）其他农林水支出（款）其他农林水支出（项）。</w:t>
      </w:r>
    </w:p>
    <w:p w:rsidR="00A22DE5" w:rsidRDefault="00812CF7">
      <w:pPr>
        <w:pStyle w:val="Default"/>
        <w:ind w:firstLineChars="200" w:firstLine="640"/>
        <w:rPr>
          <w:rFonts w:ascii="宋体" w:eastAsia="宋体" w:hAnsi="宋体" w:cs="宋体"/>
          <w:sz w:val="32"/>
          <w:szCs w:val="32"/>
        </w:rPr>
      </w:pPr>
      <w:r>
        <w:rPr>
          <w:rFonts w:ascii="宋体" w:eastAsia="宋体" w:hAnsi="宋体" w:cs="宋体" w:hint="eastAsia"/>
          <w:color w:val="auto"/>
          <w:sz w:val="32"/>
          <w:szCs w:val="32"/>
        </w:rPr>
        <w:t xml:space="preserve">  年初预算为369.89万元，支出决算为314.63万元，完成年初预算的85.06%</w:t>
      </w:r>
      <w:r>
        <w:rPr>
          <w:rFonts w:ascii="宋体" w:eastAsia="宋体" w:hAnsi="宋体" w:cs="宋体" w:hint="eastAsia"/>
          <w:sz w:val="32"/>
          <w:szCs w:val="32"/>
        </w:rPr>
        <w:t>，决算数小于年初预算数的主要原因是：进一步压缩一般性预算支</w:t>
      </w:r>
      <w:r>
        <w:rPr>
          <w:rFonts w:ascii="宋体" w:eastAsia="宋体" w:hAnsi="宋体" w:cs="宋体" w:hint="eastAsia"/>
          <w:sz w:val="32"/>
          <w:szCs w:val="32"/>
        </w:rPr>
        <w:lastRenderedPageBreak/>
        <w:t>出，取得明显成效。</w:t>
      </w:r>
    </w:p>
    <w:p w:rsidR="00A22DE5" w:rsidRDefault="00A22DE5">
      <w:pPr>
        <w:pStyle w:val="Default"/>
        <w:rPr>
          <w:rFonts w:ascii="宋体" w:eastAsia="宋体" w:hAnsi="宋体" w:cs="宋体"/>
          <w:color w:val="auto"/>
          <w:sz w:val="32"/>
          <w:szCs w:val="32"/>
        </w:rPr>
      </w:pPr>
    </w:p>
    <w:p w:rsidR="00A22DE5" w:rsidRDefault="00812CF7">
      <w:pPr>
        <w:pStyle w:val="Default"/>
        <w:rPr>
          <w:rFonts w:hAnsi="黑体" w:cs="Times New Roman"/>
          <w:b/>
          <w:bCs/>
          <w:sz w:val="32"/>
          <w:szCs w:val="32"/>
        </w:rPr>
      </w:pPr>
      <w:r>
        <w:rPr>
          <w:rFonts w:hAnsi="黑体" w:hint="eastAsia"/>
          <w:b/>
          <w:bCs/>
          <w:sz w:val="32"/>
          <w:szCs w:val="32"/>
        </w:rPr>
        <w:t>六、一般公共预算财政拨款基本支出决算情况说明</w:t>
      </w:r>
    </w:p>
    <w:p w:rsidR="00A22DE5" w:rsidRDefault="00812CF7">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年度财政拨款基本支出2933.74万元，其中：人员经费1615.35万元，占基本支出的55.06</w:t>
      </w:r>
      <w:r>
        <w:rPr>
          <w:rFonts w:ascii="宋体" w:eastAsia="宋体" w:hAnsi="宋体" w:cs="宋体"/>
          <w:sz w:val="32"/>
          <w:szCs w:val="32"/>
        </w:rPr>
        <w:t>%,</w:t>
      </w:r>
      <w:r>
        <w:rPr>
          <w:rFonts w:ascii="宋体" w:eastAsia="宋体" w:hAnsi="宋体" w:cs="宋体" w:hint="eastAsia"/>
          <w:sz w:val="32"/>
          <w:szCs w:val="32"/>
        </w:rPr>
        <w:t>主要包括基本工资、津贴补贴、奖金、伙食补助费、绩效工资、机关事业单位基本养老保险缴费、职业年金缴费、职工基本医疗保险缴费、公务员医疗补助缴费、其他社会保障缴费、住房公积金、其他工资福利支出等；公用经费1318.39万元，占基本支出的44.94</w:t>
      </w:r>
      <w:r>
        <w:rPr>
          <w:rFonts w:ascii="宋体" w:eastAsia="宋体" w:hAnsi="宋体" w:cs="宋体"/>
          <w:sz w:val="32"/>
          <w:szCs w:val="32"/>
        </w:rPr>
        <w:t>%</w:t>
      </w:r>
      <w:r>
        <w:rPr>
          <w:rFonts w:ascii="宋体" w:eastAsia="宋体" w:hAnsi="宋体" w:cs="宋体" w:hint="eastAsia"/>
          <w:sz w:val="32"/>
          <w:szCs w:val="32"/>
        </w:rPr>
        <w:t>，主要包括办公费、印刷费、咨询费、水费、电费、邮电费、物业管理费、差旅费、维修（护）费、租赁费、会议费、培训费、公务接待费、劳务费、委托业务费等。</w:t>
      </w:r>
    </w:p>
    <w:p w:rsidR="00A22DE5" w:rsidRDefault="00812CF7">
      <w:pPr>
        <w:pStyle w:val="Default"/>
        <w:rPr>
          <w:rFonts w:hAnsi="黑体" w:cs="Times New Roman"/>
          <w:b/>
          <w:bCs/>
          <w:sz w:val="32"/>
          <w:szCs w:val="32"/>
        </w:rPr>
      </w:pPr>
      <w:r>
        <w:rPr>
          <w:rFonts w:hAnsi="黑体" w:hint="eastAsia"/>
          <w:b/>
          <w:bCs/>
          <w:sz w:val="32"/>
          <w:szCs w:val="32"/>
        </w:rPr>
        <w:t>七、一般公共预算财政拨款三公经费支出决算情况说明</w:t>
      </w:r>
    </w:p>
    <w:p w:rsidR="00A22DE5" w:rsidRDefault="00812CF7">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“三公”经费财政拨款支出预算为16.68万元，支出决算为14.65万元，完成预算的87.83</w:t>
      </w:r>
      <w:r>
        <w:rPr>
          <w:rFonts w:ascii="宋体" w:eastAsia="宋体" w:hAnsi="宋体" w:cs="宋体"/>
          <w:sz w:val="32"/>
          <w:szCs w:val="32"/>
        </w:rPr>
        <w:t>%</w:t>
      </w:r>
      <w:r>
        <w:rPr>
          <w:rFonts w:ascii="宋体" w:eastAsia="宋体" w:hAnsi="宋体" w:cs="宋体" w:hint="eastAsia"/>
          <w:sz w:val="32"/>
          <w:szCs w:val="32"/>
        </w:rPr>
        <w:t>，其中：</w:t>
      </w:r>
    </w:p>
    <w:p w:rsidR="00A22DE5" w:rsidRDefault="00812CF7">
      <w:pPr>
        <w:pStyle w:val="Default"/>
        <w:ind w:firstLineChars="250" w:firstLine="800"/>
        <w:rPr>
          <w:rFonts w:ascii="宋体" w:eastAsia="宋体" w:hAnsi="宋体" w:cs="宋体"/>
          <w:sz w:val="32"/>
          <w:szCs w:val="32"/>
        </w:rPr>
      </w:pPr>
      <w:r>
        <w:rPr>
          <w:rFonts w:ascii="宋体" w:eastAsia="宋体" w:hAnsi="宋体" w:cs="宋体" w:hint="eastAsia"/>
          <w:sz w:val="32"/>
          <w:szCs w:val="32"/>
        </w:rPr>
        <w:t>因公出国（境）费支出预算为0万元，支出决算为0万元，完成预算的0%。</w:t>
      </w:r>
    </w:p>
    <w:p w:rsidR="00A22DE5" w:rsidRDefault="00812CF7">
      <w:pPr>
        <w:pStyle w:val="Default"/>
        <w:ind w:firstLineChars="250" w:firstLine="800"/>
        <w:rPr>
          <w:rFonts w:ascii="宋体" w:eastAsia="宋体" w:hAnsi="宋体" w:cs="Times New Roman"/>
          <w:sz w:val="32"/>
          <w:szCs w:val="32"/>
        </w:rPr>
      </w:pPr>
      <w:r>
        <w:rPr>
          <w:rFonts w:ascii="宋体" w:eastAsia="宋体" w:hAnsi="宋体" w:cs="Times New Roman" w:hint="eastAsia"/>
          <w:sz w:val="32"/>
          <w:szCs w:val="32"/>
        </w:rPr>
        <w:t>公务接待费支出预算为16.68万元，支出决算为14.65万元，完成预算的87.83</w:t>
      </w:r>
      <w:r>
        <w:rPr>
          <w:rFonts w:ascii="宋体" w:eastAsia="宋体" w:hAnsi="宋体" w:cs="Times New Roman"/>
          <w:sz w:val="32"/>
          <w:szCs w:val="32"/>
        </w:rPr>
        <w:t>%</w:t>
      </w:r>
      <w:r>
        <w:rPr>
          <w:rFonts w:ascii="宋体" w:eastAsia="宋体" w:hAnsi="宋体" w:cs="Times New Roman" w:hint="eastAsia"/>
          <w:sz w:val="32"/>
          <w:szCs w:val="32"/>
        </w:rPr>
        <w:t>，决算数小于年初预算数的主要原因是严格执行上级公务接待的相关要求，控制效果明显，严格压缩“三公”消费支出，并严格审批“三公”消费支出的申报，确定执行有效果。</w:t>
      </w:r>
    </w:p>
    <w:p w:rsidR="00A22DE5" w:rsidRDefault="00812CF7">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公务用车购置费及运行维护费支出预算为0万元，支出决算为0万元，完成预算的0%。</w:t>
      </w:r>
    </w:p>
    <w:p w:rsidR="00A22DE5" w:rsidRDefault="00812CF7">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A22DE5" w:rsidRDefault="00812CF7">
      <w:pPr>
        <w:pStyle w:val="Default"/>
        <w:ind w:firstLineChars="200" w:firstLine="640"/>
        <w:rPr>
          <w:rFonts w:ascii="宋体" w:eastAsia="宋体" w:hAnsi="宋体" w:cs="Times New Roman"/>
          <w:sz w:val="32"/>
          <w:szCs w:val="32"/>
        </w:rPr>
      </w:pPr>
      <w:r>
        <w:rPr>
          <w:rFonts w:ascii="宋体" w:eastAsia="宋体" w:hAnsi="宋体" w:cs="宋体"/>
          <w:sz w:val="32"/>
          <w:szCs w:val="32"/>
        </w:rPr>
        <w:lastRenderedPageBreak/>
        <w:t>2020</w:t>
      </w:r>
      <w:r>
        <w:rPr>
          <w:rFonts w:ascii="宋体" w:eastAsia="宋体" w:hAnsi="宋体" w:cs="宋体" w:hint="eastAsia"/>
          <w:sz w:val="32"/>
          <w:szCs w:val="32"/>
        </w:rPr>
        <w:t>年度“三公”经费财政拨款支出决算中，公务接待费支出决算</w:t>
      </w:r>
      <w:r>
        <w:rPr>
          <w:rFonts w:ascii="宋体" w:eastAsia="宋体" w:hAnsi="宋体" w:cs="Times New Roman" w:hint="eastAsia"/>
          <w:sz w:val="32"/>
          <w:szCs w:val="32"/>
        </w:rPr>
        <w:t>14.65</w:t>
      </w:r>
      <w:r>
        <w:rPr>
          <w:rFonts w:ascii="宋体" w:eastAsia="宋体" w:hAnsi="宋体" w:cs="宋体" w:hint="eastAsia"/>
          <w:sz w:val="32"/>
          <w:szCs w:val="32"/>
        </w:rPr>
        <w:t>万元，占100</w:t>
      </w:r>
      <w:r>
        <w:rPr>
          <w:rFonts w:ascii="宋体" w:eastAsia="宋体" w:hAnsi="宋体" w:cs="宋体"/>
          <w:sz w:val="32"/>
          <w:szCs w:val="32"/>
        </w:rPr>
        <w:t>%,</w:t>
      </w:r>
      <w:r>
        <w:rPr>
          <w:rFonts w:ascii="宋体" w:eastAsia="宋体" w:hAnsi="宋体" w:cs="宋体" w:hint="eastAsia"/>
          <w:sz w:val="32"/>
          <w:szCs w:val="32"/>
        </w:rPr>
        <w:t>因公出国（境）费支出决算0万元，占0</w:t>
      </w:r>
      <w:r>
        <w:rPr>
          <w:rFonts w:ascii="宋体" w:eastAsia="宋体" w:hAnsi="宋体" w:cs="宋体"/>
          <w:sz w:val="32"/>
          <w:szCs w:val="32"/>
        </w:rPr>
        <w:t>%,</w:t>
      </w:r>
      <w:r>
        <w:rPr>
          <w:rFonts w:ascii="宋体" w:eastAsia="宋体" w:hAnsi="宋体" w:cs="宋体" w:hint="eastAsia"/>
          <w:sz w:val="32"/>
          <w:szCs w:val="32"/>
        </w:rPr>
        <w:t>公务用车购置费及运行维护费支出决算0万元，占0</w:t>
      </w:r>
      <w:r>
        <w:rPr>
          <w:rFonts w:ascii="宋体" w:eastAsia="宋体" w:hAnsi="宋体" w:cs="宋体"/>
          <w:sz w:val="32"/>
          <w:szCs w:val="32"/>
        </w:rPr>
        <w:t>%</w:t>
      </w:r>
      <w:r>
        <w:rPr>
          <w:rFonts w:ascii="宋体" w:eastAsia="宋体" w:hAnsi="宋体" w:cs="宋体" w:hint="eastAsia"/>
          <w:sz w:val="32"/>
          <w:szCs w:val="32"/>
        </w:rPr>
        <w:t>。其中：</w:t>
      </w:r>
    </w:p>
    <w:p w:rsidR="00A22DE5" w:rsidRDefault="00812CF7">
      <w:pPr>
        <w:pStyle w:val="Default"/>
        <w:ind w:firstLineChars="200" w:firstLine="640"/>
        <w:rPr>
          <w:rFonts w:ascii="宋体" w:eastAsia="宋体" w:hAnsi="宋体" w:cs="Times New Roman"/>
          <w:b/>
          <w:bCs/>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、因公出国（境）费支出决算为0万元，全年安排因公出国（境）团组0个，累计0人次。</w:t>
      </w:r>
    </w:p>
    <w:p w:rsidR="00A22DE5" w:rsidRDefault="00812CF7">
      <w:pPr>
        <w:pStyle w:val="Default"/>
        <w:ind w:firstLineChars="200" w:firstLine="640"/>
        <w:rPr>
          <w:rFonts w:ascii="宋体" w:eastAsia="宋体" w:hAnsi="宋体" w:cs="宋体"/>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、公务接待费支出决算为14.65万元，全年共接待来访团组368个、来宾7360人次，主要是园区招商引资、上级公务接待等发生的接待支出。</w:t>
      </w:r>
    </w:p>
    <w:p w:rsidR="00A22DE5" w:rsidRDefault="00812CF7">
      <w:pPr>
        <w:pStyle w:val="Default"/>
        <w:ind w:firstLineChars="200" w:firstLine="640"/>
        <w:rPr>
          <w:rFonts w:ascii="宋体" w:eastAsia="宋体" w:hAnsi="宋体" w:cs="宋体"/>
          <w:sz w:val="32"/>
          <w:szCs w:val="32"/>
        </w:rPr>
      </w:pPr>
      <w:r>
        <w:rPr>
          <w:rFonts w:ascii="宋体" w:eastAsia="宋体" w:hAnsi="宋体" w:cs="宋体"/>
          <w:sz w:val="32"/>
          <w:szCs w:val="32"/>
        </w:rPr>
        <w:t>3</w:t>
      </w:r>
      <w:r>
        <w:rPr>
          <w:rFonts w:ascii="宋体" w:eastAsia="宋体" w:hAnsi="宋体" w:cs="宋体" w:hint="eastAsia"/>
          <w:sz w:val="32"/>
          <w:szCs w:val="32"/>
        </w:rPr>
        <w:t>、公务用车购置费及运行维护费支出决算为0万元，其中：公务用车购置费0万元，更新公务用车0 辆，公务用车运行维护费0万元。截止2020年12月31日，我单位开支财政拨款的公务用车保有量为0辆。</w:t>
      </w:r>
    </w:p>
    <w:p w:rsidR="00A22DE5" w:rsidRDefault="00812CF7">
      <w:pPr>
        <w:pStyle w:val="Default"/>
        <w:rPr>
          <w:rFonts w:hAnsi="黑体"/>
          <w:b/>
          <w:bCs/>
          <w:sz w:val="32"/>
          <w:szCs w:val="32"/>
        </w:rPr>
      </w:pPr>
      <w:r>
        <w:rPr>
          <w:rFonts w:hAnsi="黑体" w:hint="eastAsia"/>
          <w:b/>
          <w:bCs/>
          <w:sz w:val="32"/>
          <w:szCs w:val="32"/>
        </w:rPr>
        <w:t>八、政府性基金预算收入支出决算情况</w:t>
      </w:r>
    </w:p>
    <w:p w:rsidR="00A22DE5" w:rsidRDefault="00812CF7">
      <w:pPr>
        <w:pStyle w:val="Default"/>
        <w:ind w:firstLineChars="200" w:firstLine="640"/>
        <w:rPr>
          <w:rFonts w:ascii="仿宋" w:eastAsia="仿宋" w:hAnsi="仿宋" w:cs="仿宋"/>
          <w:sz w:val="32"/>
          <w:szCs w:val="32"/>
        </w:rPr>
      </w:pPr>
      <w:r>
        <w:rPr>
          <w:rFonts w:ascii="宋体" w:eastAsia="宋体" w:hAnsi="宋体" w:cs="宋体" w:hint="eastAsia"/>
          <w:sz w:val="32"/>
          <w:szCs w:val="32"/>
        </w:rPr>
        <w:t>本年度无政府性基金收支。</w:t>
      </w:r>
    </w:p>
    <w:p w:rsidR="00A22DE5" w:rsidRDefault="00812CF7">
      <w:pPr>
        <w:pStyle w:val="Default"/>
        <w:rPr>
          <w:rFonts w:hAnsi="黑体" w:cs="Times New Roman"/>
          <w:b/>
          <w:bCs/>
          <w:sz w:val="32"/>
          <w:szCs w:val="32"/>
        </w:rPr>
      </w:pPr>
      <w:r>
        <w:rPr>
          <w:rFonts w:hAnsi="黑体" w:hint="eastAsia"/>
          <w:b/>
          <w:bCs/>
          <w:sz w:val="32"/>
          <w:szCs w:val="32"/>
        </w:rPr>
        <w:t>九、关于机关运行经费支出说明</w:t>
      </w:r>
    </w:p>
    <w:p w:rsidR="00A22DE5" w:rsidRDefault="00812CF7">
      <w:pPr>
        <w:pStyle w:val="Default"/>
        <w:ind w:firstLineChars="200" w:firstLine="640"/>
        <w:rPr>
          <w:rFonts w:ascii="宋体" w:eastAsia="宋体" w:hAnsi="宋体" w:cs="宋体"/>
          <w:sz w:val="32"/>
          <w:szCs w:val="32"/>
        </w:rPr>
      </w:pPr>
      <w:r>
        <w:rPr>
          <w:rFonts w:ascii="宋体" w:eastAsia="宋体" w:hAnsi="宋体" w:cs="宋体" w:hint="eastAsia"/>
          <w:sz w:val="32"/>
          <w:szCs w:val="32"/>
        </w:rPr>
        <w:t>本部门2020年度机关运行经费支出1318.39万元,比年初预算数减少368.26万元，降低27.93%。主要原因是：严格控制各项非生产性开支。</w:t>
      </w:r>
    </w:p>
    <w:p w:rsidR="00A22DE5" w:rsidRDefault="00812CF7">
      <w:pPr>
        <w:pStyle w:val="Default"/>
        <w:rPr>
          <w:rFonts w:hAnsi="黑体" w:cs="Times New Roman"/>
          <w:b/>
          <w:bCs/>
          <w:sz w:val="32"/>
          <w:szCs w:val="32"/>
        </w:rPr>
      </w:pPr>
      <w:r>
        <w:rPr>
          <w:rFonts w:hAnsi="黑体" w:hint="eastAsia"/>
          <w:b/>
          <w:bCs/>
          <w:sz w:val="32"/>
          <w:szCs w:val="32"/>
        </w:rPr>
        <w:t>十、一般性支出情况</w:t>
      </w:r>
    </w:p>
    <w:p w:rsidR="00A22DE5" w:rsidRDefault="00812CF7">
      <w:pPr>
        <w:pStyle w:val="Default"/>
        <w:ind w:firstLineChars="250" w:firstLine="800"/>
        <w:rPr>
          <w:rFonts w:ascii="宋体" w:eastAsia="宋体" w:hAnsi="宋体" w:cs="宋体"/>
          <w:color w:val="auto"/>
          <w:sz w:val="32"/>
          <w:szCs w:val="32"/>
        </w:rPr>
      </w:pPr>
      <w:r>
        <w:rPr>
          <w:rFonts w:ascii="宋体" w:eastAsia="宋体" w:hAnsi="宋体" w:cs="宋体" w:hint="eastAsia"/>
          <w:sz w:val="32"/>
          <w:szCs w:val="32"/>
        </w:rPr>
        <w:t>2020年本部门开支会议费7.07万元，用于召开镇村干部会议、人大会、工作部署会议等，人数2356余人，内容为扫黑除恶专项斗争、禁毒工作安排部署会、环境整治工作、厕所革命工作、森林防火工作部署会、新冠疫苗接种工作安排部署会等。会议费</w:t>
      </w:r>
      <w:r>
        <w:rPr>
          <w:rFonts w:ascii="宋体" w:eastAsia="宋体" w:hAnsi="宋体" w:cs="宋体" w:hint="eastAsia"/>
          <w:color w:val="auto"/>
          <w:sz w:val="32"/>
          <w:szCs w:val="32"/>
        </w:rPr>
        <w:t>年初预算为7.07万元，支出决算为7.07万元，完成年初预算的100%。</w:t>
      </w:r>
      <w:r>
        <w:rPr>
          <w:rFonts w:ascii="宋体" w:eastAsia="宋体" w:hAnsi="宋体" w:cs="宋体" w:hint="eastAsia"/>
          <w:sz w:val="32"/>
          <w:szCs w:val="32"/>
        </w:rPr>
        <w:t>开支培训费1.35万元，用于镇村干部培训会议等，人员1350余人，内容为基层党建业务培训会、意识形态工作学习培训会、财务培训会等。培训费</w:t>
      </w:r>
      <w:r>
        <w:rPr>
          <w:rFonts w:ascii="宋体" w:eastAsia="宋体" w:hAnsi="宋体" w:cs="宋体" w:hint="eastAsia"/>
          <w:color w:val="auto"/>
          <w:sz w:val="32"/>
          <w:szCs w:val="32"/>
        </w:rPr>
        <w:t>年初预算为1.35万元，支出决算为1.35万元，完成年初预算的100%。本年无节庆、晚会、论坛、赛事活动开支。</w:t>
      </w:r>
    </w:p>
    <w:p w:rsidR="00A22DE5" w:rsidRDefault="00812CF7">
      <w:pPr>
        <w:pStyle w:val="Default"/>
        <w:ind w:firstLineChars="250" w:firstLine="803"/>
        <w:rPr>
          <w:rFonts w:hAnsi="黑体" w:cs="Times New Roman"/>
          <w:b/>
          <w:bCs/>
          <w:sz w:val="32"/>
          <w:szCs w:val="32"/>
        </w:rPr>
      </w:pPr>
      <w:r>
        <w:rPr>
          <w:rFonts w:hAnsi="黑体" w:hint="eastAsia"/>
          <w:b/>
          <w:bCs/>
          <w:sz w:val="32"/>
          <w:szCs w:val="32"/>
        </w:rPr>
        <w:lastRenderedPageBreak/>
        <w:t>十一、关于政府采购支出说明</w:t>
      </w:r>
    </w:p>
    <w:p w:rsidR="00A22DE5" w:rsidRDefault="00812CF7">
      <w:pPr>
        <w:spacing w:line="600" w:lineRule="exact"/>
        <w:ind w:firstLineChars="200" w:firstLine="640"/>
        <w:rPr>
          <w:rFonts w:eastAsia="仿宋_GB2312"/>
          <w:kern w:val="0"/>
          <w:sz w:val="32"/>
          <w:szCs w:val="32"/>
        </w:rPr>
      </w:pPr>
      <w:r>
        <w:rPr>
          <w:rFonts w:ascii="宋体" w:hAnsi="宋体" w:cs="宋体" w:hint="eastAsia"/>
          <w:sz w:val="32"/>
          <w:szCs w:val="32"/>
        </w:rPr>
        <w:t>本部门2020年度政府采购支出总额568.29万元，其中：政府采购货物支出9.54 万元、政府采购工程支出526.49万元、政府采购服务支出32.26万元。授予中小企业合同金额558.75万元，占政府采购支出总额的98.32 %，其中：授予小微企业合同金额9.54万元，占政府采购支出总额的1.68%。</w:t>
      </w:r>
    </w:p>
    <w:p w:rsidR="00A22DE5" w:rsidRDefault="00A22DE5">
      <w:pPr>
        <w:pStyle w:val="Default"/>
        <w:ind w:firstLineChars="200" w:firstLine="640"/>
        <w:rPr>
          <w:rFonts w:ascii="宋体" w:eastAsia="宋体" w:hAnsi="宋体" w:cs="Times New Roman"/>
          <w:color w:val="auto"/>
          <w:sz w:val="32"/>
          <w:szCs w:val="32"/>
        </w:rPr>
      </w:pPr>
    </w:p>
    <w:p w:rsidR="00A22DE5" w:rsidRDefault="00812CF7">
      <w:pPr>
        <w:pStyle w:val="Default"/>
        <w:rPr>
          <w:rFonts w:hAnsi="黑体" w:cs="Times New Roman"/>
          <w:b/>
          <w:bCs/>
          <w:sz w:val="32"/>
          <w:szCs w:val="32"/>
        </w:rPr>
      </w:pPr>
      <w:r>
        <w:rPr>
          <w:rFonts w:hAnsi="黑体" w:hint="eastAsia"/>
          <w:b/>
          <w:bCs/>
          <w:sz w:val="32"/>
          <w:szCs w:val="32"/>
        </w:rPr>
        <w:t>十二、关于国有资产占用情况说明</w:t>
      </w:r>
    </w:p>
    <w:p w:rsidR="00A22DE5" w:rsidRDefault="00812CF7">
      <w:pPr>
        <w:pStyle w:val="Default"/>
        <w:ind w:firstLineChars="200" w:firstLine="640"/>
        <w:rPr>
          <w:rFonts w:ascii="宋体" w:eastAsia="宋体" w:hAnsi="宋体" w:cs="宋体"/>
          <w:sz w:val="32"/>
          <w:szCs w:val="32"/>
        </w:rPr>
      </w:pPr>
      <w:r>
        <w:rPr>
          <w:rFonts w:ascii="宋体" w:eastAsia="宋体" w:hAnsi="宋体" w:cs="宋体" w:hint="eastAsia"/>
          <w:sz w:val="32"/>
          <w:szCs w:val="32"/>
        </w:rPr>
        <w:t>截至2020年12月31日，本单位共有车辆0辆，其中，领导干部用车0辆、机要通信用车0辆、应急保障用车0辆、执法执勤用车0辆、特种专业技术用车0辆、其他用车0辆；单位价值50万元以上通用设备0台；单位价值100万元以上专用设备0台。</w:t>
      </w:r>
    </w:p>
    <w:p w:rsidR="00A22DE5" w:rsidRDefault="00812CF7">
      <w:pPr>
        <w:pStyle w:val="Default"/>
        <w:numPr>
          <w:ilvl w:val="0"/>
          <w:numId w:val="4"/>
        </w:numPr>
        <w:rPr>
          <w:rFonts w:hAnsi="黑体"/>
          <w:b/>
          <w:bCs/>
          <w:sz w:val="32"/>
          <w:szCs w:val="32"/>
        </w:rPr>
      </w:pPr>
      <w:r>
        <w:rPr>
          <w:rFonts w:hAnsi="黑体" w:hint="eastAsia"/>
          <w:b/>
          <w:bCs/>
          <w:sz w:val="32"/>
          <w:szCs w:val="32"/>
        </w:rPr>
        <w:t>国有资本经营预算财政拨款支出决算情况</w:t>
      </w:r>
    </w:p>
    <w:p w:rsidR="00A22DE5" w:rsidRDefault="00812CF7">
      <w:pPr>
        <w:pStyle w:val="Default"/>
        <w:rPr>
          <w:rFonts w:eastAsia="宋体" w:hAnsi="黑体"/>
          <w:b/>
          <w:bCs/>
          <w:sz w:val="32"/>
          <w:szCs w:val="32"/>
        </w:rPr>
      </w:pPr>
      <w:r>
        <w:rPr>
          <w:rFonts w:ascii="宋体" w:eastAsia="宋体" w:hAnsi="宋体" w:cs="宋体" w:hint="eastAsia"/>
          <w:sz w:val="32"/>
          <w:szCs w:val="32"/>
        </w:rPr>
        <w:t xml:space="preserve">    本单位无国有资本经营预算支出。</w:t>
      </w:r>
    </w:p>
    <w:p w:rsidR="00A22DE5" w:rsidRDefault="00812CF7">
      <w:pPr>
        <w:pStyle w:val="Default"/>
        <w:rPr>
          <w:rFonts w:hAnsi="黑体" w:cs="Times New Roman"/>
          <w:b/>
          <w:bCs/>
          <w:sz w:val="32"/>
          <w:szCs w:val="32"/>
        </w:rPr>
      </w:pPr>
      <w:r>
        <w:rPr>
          <w:rFonts w:hAnsi="黑体" w:hint="eastAsia"/>
          <w:b/>
          <w:bCs/>
          <w:sz w:val="32"/>
          <w:szCs w:val="32"/>
        </w:rPr>
        <w:t>十四、关于</w:t>
      </w:r>
      <w:r>
        <w:rPr>
          <w:rFonts w:hAnsi="黑体"/>
          <w:b/>
          <w:bCs/>
          <w:sz w:val="32"/>
          <w:szCs w:val="32"/>
        </w:rPr>
        <w:t>2020</w:t>
      </w:r>
      <w:r>
        <w:rPr>
          <w:rFonts w:hAnsi="黑体" w:hint="eastAsia"/>
          <w:b/>
          <w:bCs/>
          <w:sz w:val="32"/>
          <w:szCs w:val="32"/>
        </w:rPr>
        <w:t>年度预算绩效情况的说明</w:t>
      </w:r>
    </w:p>
    <w:p w:rsidR="00A22DE5" w:rsidRDefault="00812CF7">
      <w:pPr>
        <w:pStyle w:val="Default"/>
        <w:ind w:firstLineChars="200" w:firstLine="640"/>
        <w:jc w:val="both"/>
        <w:rPr>
          <w:rFonts w:ascii="宋体" w:eastAsia="宋体" w:hAnsi="宋体" w:cs="宋体"/>
          <w:sz w:val="32"/>
          <w:szCs w:val="32"/>
        </w:rPr>
      </w:pPr>
      <w:r>
        <w:rPr>
          <w:rFonts w:ascii="宋体" w:eastAsia="宋体" w:hAnsi="宋体" w:cs="宋体" w:hint="eastAsia"/>
          <w:sz w:val="32"/>
          <w:szCs w:val="32"/>
        </w:rPr>
        <w:t>本年度无重点绩效评价，本部门预算绩效管理开展情况于2021年6月份开始开展，其中绩效目标和绩效评价报告等严格按照上级业务部门的要求进行相关业务处理，2020年度部门整体支出绩效评价自评得分89分（详情见附件2020年度部门整体支出绩效评价自评报告）。</w:t>
      </w:r>
    </w:p>
    <w:p w:rsidR="00A22DE5" w:rsidRDefault="00812CF7">
      <w:pPr>
        <w:spacing w:line="560" w:lineRule="exact"/>
        <w:ind w:firstLineChars="200" w:firstLine="640"/>
        <w:rPr>
          <w:sz w:val="72"/>
          <w:szCs w:val="72"/>
        </w:rPr>
      </w:pPr>
      <w:r>
        <w:rPr>
          <w:rFonts w:asciiTheme="minorEastAsia" w:hAnsiTheme="minorEastAsia" w:cs="黑体" w:hint="eastAsia"/>
          <w:color w:val="000000"/>
          <w:kern w:val="0"/>
          <w:sz w:val="32"/>
          <w:szCs w:val="32"/>
        </w:rPr>
        <w:t>2020年部门整体支出绩效情况：2020年部门整体支出5476.08万元，本年度发生基本支出4856.33万元，及时足额支付人员工资、福利、五险一金，人员经费到位；项目支出619.75万元，确保项目资金专款专用，使工作做得有声有色。适应乡镇工作特点和便民服务需要，进一步理顺县直部门和乡镇权责关系，促进条的管理与块的治理协同融合；整合审批、服务、执法等方面的职能和力量，在机构限额内，调整优化乡镇党政机构和事业单位设置，实行扁平化和网格化管理。加强党的建设、加强公共服务、加强社会</w:t>
      </w:r>
      <w:r>
        <w:rPr>
          <w:rFonts w:asciiTheme="minorEastAsia" w:hAnsiTheme="minorEastAsia" w:cs="黑体" w:hint="eastAsia"/>
          <w:color w:val="000000"/>
          <w:kern w:val="0"/>
          <w:sz w:val="32"/>
          <w:szCs w:val="32"/>
        </w:rPr>
        <w:lastRenderedPageBreak/>
        <w:t>管理和公共安全、促进地方经济社会发展上来。同时做到资金管理规范，分配合理，按年初预算执行，三公经费控制在标准范围内。</w:t>
      </w:r>
      <w:r>
        <w:rPr>
          <w:sz w:val="72"/>
          <w:szCs w:val="72"/>
        </w:rPr>
        <w:br w:type="page"/>
      </w:r>
    </w:p>
    <w:p w:rsidR="00A22DE5" w:rsidRDefault="00812CF7">
      <w:pPr>
        <w:pStyle w:val="Default"/>
        <w:jc w:val="center"/>
        <w:rPr>
          <w:sz w:val="72"/>
          <w:szCs w:val="72"/>
        </w:rPr>
      </w:pPr>
      <w:r>
        <w:rPr>
          <w:rFonts w:hint="eastAsia"/>
          <w:sz w:val="72"/>
          <w:szCs w:val="72"/>
        </w:rPr>
        <w:lastRenderedPageBreak/>
        <w:t>第四部分</w:t>
      </w:r>
    </w:p>
    <w:p w:rsidR="00A22DE5" w:rsidRDefault="00A22DE5">
      <w:pPr>
        <w:jc w:val="center"/>
        <w:rPr>
          <w:rFonts w:ascii="黑体" w:eastAsia="黑体" w:cs="黑体"/>
          <w:color w:val="000000"/>
          <w:kern w:val="0"/>
          <w:sz w:val="70"/>
          <w:szCs w:val="70"/>
        </w:rPr>
      </w:pPr>
    </w:p>
    <w:p w:rsidR="00A22DE5" w:rsidRDefault="00812CF7">
      <w:pPr>
        <w:widowControl/>
        <w:ind w:firstLineChars="500" w:firstLine="3500"/>
        <w:jc w:val="left"/>
        <w:rPr>
          <w:rFonts w:ascii="黑体" w:eastAsia="黑体" w:cs="黑体"/>
          <w:color w:val="000000"/>
          <w:kern w:val="0"/>
          <w:sz w:val="70"/>
          <w:szCs w:val="70"/>
        </w:rPr>
      </w:pPr>
      <w:r>
        <w:rPr>
          <w:rFonts w:ascii="黑体" w:eastAsia="黑体" w:cs="黑体" w:hint="eastAsia"/>
          <w:color w:val="000000"/>
          <w:kern w:val="0"/>
          <w:sz w:val="70"/>
          <w:szCs w:val="70"/>
        </w:rPr>
        <w:t>名词解释</w:t>
      </w:r>
    </w:p>
    <w:p w:rsidR="00A22DE5" w:rsidRDefault="00A22DE5">
      <w:pPr>
        <w:ind w:firstLineChars="200" w:firstLine="640"/>
        <w:jc w:val="left"/>
        <w:rPr>
          <w:rFonts w:asciiTheme="minorEastAsia" w:hAnsiTheme="minorEastAsia" w:cs="黑体"/>
          <w:color w:val="000000"/>
          <w:kern w:val="0"/>
          <w:sz w:val="32"/>
          <w:szCs w:val="32"/>
        </w:rPr>
      </w:pPr>
    </w:p>
    <w:p w:rsidR="00A22DE5" w:rsidRDefault="00812CF7">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1、机关运行经费：是指各部门的公用经费，包括办公费、印刷费、邮电费、差旅费、会议费、福利费、水电费、日常维修费、一般设备购置费、办公用房物理管理费、公务用车运行维护费及其他费用。</w:t>
      </w:r>
    </w:p>
    <w:p w:rsidR="00A22DE5" w:rsidRDefault="00812CF7">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rsidR="00A22DE5" w:rsidRDefault="00812CF7">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 xml:space="preserve">3、基本支出：是指为保障机构正常运转、完成日常工作任务而发生的人员支出和公用支出。 </w:t>
      </w:r>
    </w:p>
    <w:p w:rsidR="00A22DE5" w:rsidRDefault="00812CF7">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4、项目支出：是指在基本支出之外为完成特定行政任务和事业发展目标所发生的支出。</w:t>
      </w: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A22DE5">
      <w:pPr>
        <w:pStyle w:val="Default"/>
        <w:jc w:val="center"/>
        <w:rPr>
          <w:sz w:val="72"/>
          <w:szCs w:val="72"/>
        </w:rPr>
      </w:pPr>
    </w:p>
    <w:p w:rsidR="00A22DE5" w:rsidRDefault="00812CF7">
      <w:pPr>
        <w:pStyle w:val="Default"/>
        <w:jc w:val="center"/>
        <w:rPr>
          <w:sz w:val="72"/>
          <w:szCs w:val="72"/>
        </w:rPr>
      </w:pPr>
      <w:r>
        <w:rPr>
          <w:rFonts w:hint="eastAsia"/>
          <w:sz w:val="72"/>
          <w:szCs w:val="72"/>
        </w:rPr>
        <w:t>第五部分</w:t>
      </w:r>
    </w:p>
    <w:p w:rsidR="00A22DE5" w:rsidRDefault="00A22DE5">
      <w:pPr>
        <w:jc w:val="center"/>
        <w:rPr>
          <w:rFonts w:ascii="黑体" w:eastAsia="黑体" w:cs="黑体"/>
          <w:color w:val="000000"/>
          <w:kern w:val="0"/>
          <w:sz w:val="70"/>
          <w:szCs w:val="70"/>
        </w:rPr>
      </w:pPr>
    </w:p>
    <w:p w:rsidR="00A22DE5" w:rsidRDefault="00812CF7">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A22DE5" w:rsidRDefault="00812CF7">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A22DE5" w:rsidRDefault="00A22DE5">
      <w:pPr>
        <w:jc w:val="center"/>
        <w:rPr>
          <w:rFonts w:ascii="黑体" w:eastAsia="黑体" w:cs="黑体"/>
          <w:color w:val="000000"/>
          <w:kern w:val="0"/>
          <w:sz w:val="70"/>
          <w:szCs w:val="70"/>
        </w:rPr>
      </w:pPr>
    </w:p>
    <w:p w:rsidR="00A22DE5" w:rsidRDefault="00812CF7">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A22DE5" w:rsidRDefault="00812CF7">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（湘潭县河</w:t>
      </w:r>
      <w:r>
        <w:rPr>
          <w:rFonts w:ascii="宋体" w:hAnsi="宋体" w:cs="方正小标宋_GBK"/>
          <w:b/>
          <w:sz w:val="36"/>
          <w:szCs w:val="36"/>
        </w:rPr>
        <w:t>口镇人民政府</w:t>
      </w:r>
      <w:r>
        <w:rPr>
          <w:rFonts w:ascii="宋体" w:hAnsi="宋体" w:cs="方正小标宋_GBK" w:hint="eastAsia"/>
          <w:b/>
          <w:sz w:val="36"/>
          <w:szCs w:val="36"/>
        </w:rPr>
        <w:t>）</w:t>
      </w:r>
    </w:p>
    <w:p w:rsidR="00A22DE5" w:rsidRDefault="00A22DE5">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A22DE5">
        <w:trPr>
          <w:trHeight w:val="675"/>
          <w:jc w:val="center"/>
        </w:trPr>
        <w:tc>
          <w:tcPr>
            <w:tcW w:w="1384" w:type="dxa"/>
            <w:vMerge w:val="restart"/>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A22DE5" w:rsidRDefault="00812CF7">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湘潭县河口镇人民政府</w:t>
            </w:r>
          </w:p>
        </w:tc>
      </w:tr>
      <w:tr w:rsidR="00A22DE5">
        <w:trPr>
          <w:trHeight w:val="675"/>
          <w:jc w:val="center"/>
        </w:trPr>
        <w:tc>
          <w:tcPr>
            <w:tcW w:w="1384" w:type="dxa"/>
            <w:vMerge/>
          </w:tcPr>
          <w:p w:rsidR="00A22DE5" w:rsidRDefault="00A22DE5">
            <w:pPr>
              <w:spacing w:line="576" w:lineRule="exact"/>
              <w:jc w:val="center"/>
              <w:rPr>
                <w:rFonts w:ascii="仿宋_GB2312" w:eastAsia="仿宋_GB2312" w:hAnsi="宋体" w:cs="宋体"/>
                <w:sz w:val="24"/>
              </w:rPr>
            </w:pP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A22DE5" w:rsidRDefault="00812CF7">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6262</w:t>
            </w:r>
            <w:r>
              <w:rPr>
                <w:rFonts w:ascii="仿宋_GB2312" w:eastAsia="仿宋_GB2312" w:hAnsi="宋体" w:cs="宋体" w:hint="eastAsia"/>
                <w:sz w:val="24"/>
              </w:rPr>
              <w:t>万元</w:t>
            </w:r>
          </w:p>
        </w:tc>
      </w:tr>
      <w:tr w:rsidR="00A22DE5">
        <w:trPr>
          <w:trHeight w:val="675"/>
          <w:jc w:val="center"/>
        </w:trPr>
        <w:tc>
          <w:tcPr>
            <w:tcW w:w="1384" w:type="dxa"/>
            <w:vMerge/>
          </w:tcPr>
          <w:p w:rsidR="00A22DE5" w:rsidRDefault="00A22DE5">
            <w:pPr>
              <w:spacing w:line="576" w:lineRule="exact"/>
              <w:jc w:val="center"/>
              <w:rPr>
                <w:rFonts w:ascii="仿宋_GB2312" w:eastAsia="仿宋_GB2312" w:hAnsi="宋体" w:cs="宋体"/>
                <w:sz w:val="24"/>
              </w:rPr>
            </w:pP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A22DE5" w:rsidRDefault="00812CF7">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A22DE5">
        <w:trPr>
          <w:trHeight w:val="675"/>
          <w:jc w:val="center"/>
        </w:trPr>
        <w:tc>
          <w:tcPr>
            <w:tcW w:w="1384" w:type="dxa"/>
            <w:vMerge/>
          </w:tcPr>
          <w:p w:rsidR="00A22DE5" w:rsidRDefault="00A22DE5">
            <w:pPr>
              <w:spacing w:line="576" w:lineRule="exact"/>
              <w:jc w:val="center"/>
              <w:rPr>
                <w:rFonts w:ascii="仿宋_GB2312" w:eastAsia="仿宋_GB2312" w:hAnsi="宋体" w:cs="宋体"/>
                <w:sz w:val="24"/>
              </w:rPr>
            </w:pP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1、执行上级国家行政机关的决定、命令和国家制定的法律、法规，接受同级党委的领导，执行本级人民代表大会的各项决议，并报告执行决议、决定和命令的情况。</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2、制定并落实本行政区域的经济计划和措施，促进产业结构调整及其他经济保持平衡协调发展，全面提高人民群众的生活水平和生活质量。</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3、承担国有资产、集体资产管理、监督及增值保值责任；认真执行国家的法律和政策，履行经济合同。</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4、开展社会主义民主和法制的宣传教育，制定社会治安综合治理工作规划并组织实施，加强社区管理工作，调解民间纠纷，打击违法犯罪，维护社会稳定。</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5、制定社会各项事业发展计划，组织实施义务教育和其他各类教育，加强计划生育工作，推进社会保障、社会福利事业和养老保险工作。</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6、加强镇级财政的监督和管理，按计划组织、管理财政收入和支出，执行国家有关财经法规和政策，保证</w:t>
            </w:r>
            <w:r>
              <w:rPr>
                <w:rFonts w:ascii="仿宋_GB2312" w:eastAsia="仿宋_GB2312" w:hAnsi="仿宋_GB2312" w:cs="仿宋_GB2312" w:hint="eastAsia"/>
                <w:sz w:val="24"/>
              </w:rPr>
              <w:lastRenderedPageBreak/>
              <w:t>国家财政收入的完成；做好统计工作。</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7、指导、支持、帮助村民委员会的组织制度建设和业务建设，促进村民委员民主自治。</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8、制定和组织实施镇村建设规划；加强公用、市政设施、水利建设和管理以及房屋土地管理和环境综合整治工作，保护和改善生活环境和生态环境。</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9、协助和支持设置在本行政区域内不隶属于镇的国家机关和企事业单位工作，监督其遵守和执行国家的法律、法规和政策。</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10、承办本级党委、人大和上级交办的其它事项。</w:t>
            </w:r>
          </w:p>
        </w:tc>
      </w:tr>
      <w:tr w:rsidR="00A22DE5">
        <w:trPr>
          <w:trHeight w:val="699"/>
          <w:jc w:val="center"/>
        </w:trPr>
        <w:tc>
          <w:tcPr>
            <w:tcW w:w="1384" w:type="dxa"/>
            <w:vMerge w:val="restart"/>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绩效完成情况</w:t>
            </w: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w:t>
            </w:r>
            <w:r w:rsidR="00191598">
              <w:rPr>
                <w:rFonts w:ascii="仿宋_GB2312" w:eastAsia="仿宋_GB2312" w:hAnsi="仿宋_GB2312" w:cs="仿宋_GB2312" w:hint="eastAsia"/>
                <w:sz w:val="24"/>
              </w:rPr>
              <w:t>中华人民共和国</w:t>
            </w:r>
            <w:r>
              <w:rPr>
                <w:rFonts w:ascii="仿宋_GB2312" w:eastAsia="仿宋_GB2312" w:hAnsi="仿宋_GB2312" w:cs="仿宋_GB2312" w:hint="eastAsia"/>
                <w:sz w:val="24"/>
              </w:rPr>
              <w:t>会计法》、《</w:t>
            </w:r>
            <w:r w:rsidR="00191598">
              <w:rPr>
                <w:rFonts w:ascii="仿宋_GB2312" w:eastAsia="仿宋_GB2312" w:hAnsi="仿宋_GB2312" w:cs="仿宋_GB2312" w:hint="eastAsia"/>
                <w:sz w:val="24"/>
              </w:rPr>
              <w:t>中华人民共和国</w:t>
            </w:r>
            <w:bookmarkStart w:id="2" w:name="_GoBack"/>
            <w:bookmarkEnd w:id="2"/>
            <w:r>
              <w:rPr>
                <w:rFonts w:ascii="仿宋_GB2312" w:eastAsia="仿宋_GB2312" w:hAnsi="仿宋_GB2312" w:cs="仿宋_GB2312" w:hint="eastAsia"/>
                <w:sz w:val="24"/>
              </w:rPr>
              <w:t>预算法》、《行政单位会计制度》等法律法规，各项经费支出严格按照政府采购、国库集中支付等有关规定执行。同时我单位制定了《</w:t>
            </w:r>
            <w:r>
              <w:rPr>
                <w:rFonts w:ascii="仿宋_GB2312" w:eastAsia="仿宋_GB2312" w:hAnsi="仿宋_GB2312" w:cs="仿宋_GB2312"/>
                <w:sz w:val="24"/>
              </w:rPr>
              <w:t>湘潭县</w:t>
            </w:r>
            <w:r>
              <w:rPr>
                <w:rFonts w:ascii="仿宋_GB2312" w:eastAsia="仿宋_GB2312" w:hAnsi="仿宋_GB2312" w:cs="仿宋_GB2312" w:hint="eastAsia"/>
                <w:sz w:val="24"/>
              </w:rPr>
              <w:t>河口</w:t>
            </w:r>
            <w:r>
              <w:rPr>
                <w:rFonts w:ascii="仿宋_GB2312" w:eastAsia="仿宋_GB2312" w:hAnsi="仿宋_GB2312" w:cs="仿宋_GB2312"/>
                <w:sz w:val="24"/>
              </w:rPr>
              <w:t>镇人民政府</w:t>
            </w:r>
            <w:r>
              <w:rPr>
                <w:rFonts w:ascii="仿宋_GB2312" w:eastAsia="仿宋_GB2312" w:hAnsi="仿宋_GB2312" w:cs="仿宋_GB2312" w:hint="eastAsia"/>
                <w:sz w:val="24"/>
              </w:rPr>
              <w:t>财务管理制度》，在项目资金管理和使用上，严格按照《湘潭县财政专项资金管理暂行办法》、《</w:t>
            </w:r>
            <w:r>
              <w:rPr>
                <w:rFonts w:ascii="仿宋_GB2312" w:eastAsia="仿宋_GB2312" w:hAnsi="仿宋_GB2312" w:cs="仿宋_GB2312"/>
                <w:sz w:val="24"/>
              </w:rPr>
              <w:t>湘潭县</w:t>
            </w:r>
            <w:r>
              <w:rPr>
                <w:rFonts w:ascii="仿宋_GB2312" w:eastAsia="仿宋_GB2312" w:hAnsi="仿宋_GB2312" w:cs="仿宋_GB2312" w:hint="eastAsia"/>
                <w:sz w:val="24"/>
              </w:rPr>
              <w:t>河口</w:t>
            </w:r>
            <w:r>
              <w:rPr>
                <w:rFonts w:ascii="仿宋_GB2312" w:eastAsia="仿宋_GB2312" w:hAnsi="仿宋_GB2312" w:cs="仿宋_GB2312"/>
                <w:sz w:val="24"/>
              </w:rPr>
              <w:t>镇人民政府</w:t>
            </w:r>
            <w:r>
              <w:rPr>
                <w:rFonts w:ascii="仿宋_GB2312" w:eastAsia="仿宋_GB2312" w:hAnsi="仿宋_GB2312" w:cs="仿宋_GB2312" w:hint="eastAsia"/>
                <w:sz w:val="24"/>
              </w:rPr>
              <w:t>财务管理制度》的规定，在资金使用上坚持专款专用的原则，严格按预算执行，项目资金建立专款专用、专项核算制度，由财政所进行资金监管，做到了支出合法、合规，无虚列、截留、超标准、超预算支出情况；我单位制定了资产管理制度，相关资产管理制度合法、合规、完整。</w:t>
            </w:r>
          </w:p>
          <w:p w:rsidR="00A22DE5" w:rsidRDefault="00812CF7">
            <w:pPr>
              <w:spacing w:line="600" w:lineRule="exact"/>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w:t>
            </w:r>
            <w:r>
              <w:rPr>
                <w:rFonts w:ascii="仿宋_GB2312" w:eastAsia="仿宋_GB2312" w:hAnsi="仿宋_GB2312" w:cs="仿宋_GB2312" w:hint="eastAsia"/>
                <w:sz w:val="24"/>
              </w:rPr>
              <w:lastRenderedPageBreak/>
              <w:t>制了行政运行成本。20</w:t>
            </w:r>
            <w:r>
              <w:rPr>
                <w:rFonts w:ascii="仿宋_GB2312" w:eastAsia="仿宋_GB2312" w:hAnsi="仿宋_GB2312" w:cs="仿宋_GB2312"/>
                <w:sz w:val="24"/>
              </w:rPr>
              <w:t>20</w:t>
            </w:r>
            <w:r>
              <w:rPr>
                <w:rFonts w:ascii="仿宋_GB2312" w:eastAsia="仿宋_GB2312" w:hAnsi="仿宋_GB2312" w:cs="仿宋_GB2312" w:hint="eastAsia"/>
                <w:sz w:val="24"/>
              </w:rPr>
              <w:t>年部门整体支出</w:t>
            </w:r>
            <w:r>
              <w:rPr>
                <w:rFonts w:ascii="仿宋_GB2312" w:eastAsia="仿宋_GB2312" w:hAnsi="仿宋_GB2312" w:cs="仿宋_GB2312"/>
                <w:sz w:val="24"/>
              </w:rPr>
              <w:t>5476.08</w:t>
            </w:r>
            <w:r>
              <w:rPr>
                <w:rFonts w:ascii="仿宋_GB2312" w:eastAsia="仿宋_GB2312" w:hAnsi="仿宋_GB2312" w:cs="仿宋_GB2312" w:hint="eastAsia"/>
                <w:sz w:val="24"/>
              </w:rPr>
              <w:t>万元，支出按支出性质分类为：基本支出</w:t>
            </w:r>
            <w:r>
              <w:rPr>
                <w:rFonts w:ascii="仿宋_GB2312" w:eastAsia="仿宋_GB2312" w:hAnsi="仿宋_GB2312" w:cs="仿宋_GB2312"/>
                <w:sz w:val="24"/>
              </w:rPr>
              <w:t>4856.33</w:t>
            </w:r>
            <w:r>
              <w:rPr>
                <w:rFonts w:ascii="仿宋_GB2312" w:eastAsia="仿宋_GB2312" w:hAnsi="仿宋_GB2312" w:cs="仿宋_GB2312" w:hint="eastAsia"/>
                <w:sz w:val="24"/>
              </w:rPr>
              <w:t>万元，项目支出</w:t>
            </w:r>
            <w:r>
              <w:rPr>
                <w:rFonts w:ascii="仿宋_GB2312" w:eastAsia="仿宋_GB2312" w:hAnsi="仿宋_GB2312" w:cs="仿宋_GB2312"/>
                <w:sz w:val="24"/>
              </w:rPr>
              <w:t>619.75</w:t>
            </w:r>
            <w:r>
              <w:rPr>
                <w:rFonts w:ascii="仿宋_GB2312" w:eastAsia="仿宋_GB2312" w:hAnsi="仿宋_GB2312" w:cs="仿宋_GB2312" w:hint="eastAsia"/>
                <w:sz w:val="24"/>
              </w:rPr>
              <w:t>万元。20</w:t>
            </w:r>
            <w:r>
              <w:rPr>
                <w:rFonts w:ascii="仿宋_GB2312" w:eastAsia="仿宋_GB2312" w:hAnsi="仿宋_GB2312" w:cs="仿宋_GB2312"/>
                <w:sz w:val="24"/>
              </w:rPr>
              <w:t>20</w:t>
            </w:r>
            <w:r>
              <w:rPr>
                <w:rFonts w:ascii="仿宋_GB2312" w:eastAsia="仿宋_GB2312" w:hAnsi="仿宋_GB2312" w:cs="仿宋_GB2312" w:hint="eastAsia"/>
                <w:sz w:val="24"/>
              </w:rPr>
              <w:t>年“三公”经费</w:t>
            </w:r>
            <w:r>
              <w:rPr>
                <w:rFonts w:ascii="仿宋_GB2312" w:eastAsia="仿宋_GB2312" w:hAnsi="仿宋_GB2312" w:cs="仿宋_GB2312"/>
                <w:sz w:val="24"/>
              </w:rPr>
              <w:t>14.65</w:t>
            </w:r>
            <w:r>
              <w:rPr>
                <w:rFonts w:ascii="仿宋_GB2312" w:eastAsia="仿宋_GB2312" w:hAnsi="仿宋_GB2312" w:cs="仿宋_GB2312" w:hint="eastAsia"/>
                <w:sz w:val="24"/>
              </w:rPr>
              <w:t>万元，均为公务接待，</w:t>
            </w:r>
            <w:r>
              <w:rPr>
                <w:rFonts w:ascii="仿宋_GB2312" w:eastAsia="仿宋_GB2312" w:hAnsi="仿宋_GB2312" w:cs="仿宋_GB2312"/>
                <w:sz w:val="24"/>
              </w:rPr>
              <w:t>主要用于</w:t>
            </w:r>
            <w:r>
              <w:rPr>
                <w:rFonts w:ascii="仿宋_GB2312" w:eastAsia="仿宋_GB2312" w:hAnsi="仿宋_GB2312" w:cs="仿宋_GB2312" w:hint="eastAsia"/>
                <w:sz w:val="24"/>
              </w:rPr>
              <w:t>新</w:t>
            </w:r>
            <w:r>
              <w:rPr>
                <w:rFonts w:ascii="仿宋_GB2312" w:eastAsia="仿宋_GB2312" w:hAnsi="仿宋_GB2312" w:cs="仿宋_GB2312"/>
                <w:sz w:val="24"/>
              </w:rPr>
              <w:t>冠疫情防控工作</w:t>
            </w:r>
            <w:r>
              <w:rPr>
                <w:rFonts w:ascii="仿宋_GB2312" w:eastAsia="仿宋_GB2312" w:hAnsi="仿宋_GB2312" w:cs="仿宋_GB2312" w:hint="eastAsia"/>
                <w:sz w:val="24"/>
              </w:rPr>
              <w:t>。</w:t>
            </w:r>
          </w:p>
        </w:tc>
      </w:tr>
      <w:tr w:rsidR="00A22DE5">
        <w:trPr>
          <w:trHeight w:val="1230"/>
          <w:jc w:val="center"/>
        </w:trPr>
        <w:tc>
          <w:tcPr>
            <w:tcW w:w="1384" w:type="dxa"/>
            <w:vMerge/>
          </w:tcPr>
          <w:p w:rsidR="00A22DE5" w:rsidRDefault="00A22DE5">
            <w:pPr>
              <w:spacing w:line="576" w:lineRule="exact"/>
              <w:jc w:val="center"/>
              <w:rPr>
                <w:rFonts w:ascii="仿宋_GB2312" w:eastAsia="仿宋_GB2312" w:hAnsi="宋体" w:cs="宋体"/>
                <w:sz w:val="24"/>
              </w:rPr>
            </w:pP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2020年是实现全面建成小康社会的决胜之年，是脱贫攻坚的决战之年，也是</w:t>
            </w:r>
            <w:r w:rsidR="004B4213">
              <w:rPr>
                <w:rFonts w:ascii="仿宋_GB2312" w:eastAsia="仿宋_GB2312" w:hAnsi="仿宋_GB2312" w:cs="仿宋_GB2312" w:hint="eastAsia"/>
                <w:sz w:val="24"/>
              </w:rPr>
              <w:t>“</w:t>
            </w:r>
            <w:r>
              <w:rPr>
                <w:rFonts w:ascii="仿宋_GB2312" w:eastAsia="仿宋_GB2312" w:hAnsi="仿宋_GB2312" w:cs="仿宋_GB2312" w:hint="eastAsia"/>
                <w:sz w:val="24"/>
              </w:rPr>
              <w:t>十三五</w:t>
            </w:r>
            <w:r w:rsidR="004B4213">
              <w:rPr>
                <w:rFonts w:ascii="仿宋_GB2312" w:eastAsia="仿宋_GB2312" w:hAnsi="仿宋_GB2312" w:cs="仿宋_GB2312" w:hint="eastAsia"/>
                <w:sz w:val="24"/>
              </w:rPr>
              <w:t>”</w:t>
            </w:r>
            <w:r>
              <w:rPr>
                <w:rFonts w:ascii="仿宋_GB2312" w:eastAsia="仿宋_GB2312" w:hAnsi="仿宋_GB2312" w:cs="仿宋_GB2312" w:hint="eastAsia"/>
                <w:sz w:val="24"/>
              </w:rPr>
              <w:t>规划的收官之年，河口镇党委、政府在县委、县政府的坚强领导下，始终坚持以习近平新时代中国特色社会主义思想和党的十九大历届全会精神为指引，认真贯彻落实新时代党的建设总要求和新时代党的组织路线，突出政治功能和组织力，全面加强组织体系建设，在宏观环境依然严峻、新冠疫情突如其来、内部发展困难增多的情况下，团结带领全镇党员、干部群众，攻坚克难，始终以“全面小康决胜年”为抓手，扎实推进“一脱贫三促进六覆盖”，各项工作齐头并进，取得了良好的成绩。</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一、抓基层，打基础，激发基层党建新活力</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（一）思想引领，全面加强思想政治建设</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1.强化理论武装。始终把深入学习贯彻习近平新时代中国特色社会主义思想作为党委理论学习中心组重点内容，全年共开展中心组集中学习13次26个课题，党的理论政策集中宣讲开展5轮25场,党员集中轮训4期600余人。夯实“三会一课”、主题党日活动，健全党的政策理论学习常态化长效机制，由党政领导干部带头讲党课，第一书记、党总支书记日常讲，湘潭市党的理论政策宣讲团集中讲，真正把党的路线方针政策和中央、省委、市委的重大决策部署宣传到位。</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2.狠抓意识形态。坚决落实“四个责任”“四个纳入”，全年召开党委会议专题研究意识形态工作2次，</w:t>
            </w:r>
            <w:r>
              <w:rPr>
                <w:rFonts w:ascii="仿宋_GB2312" w:eastAsia="仿宋_GB2312" w:hAnsi="仿宋_GB2312" w:cs="仿宋_GB2312" w:hint="eastAsia"/>
                <w:sz w:val="24"/>
              </w:rPr>
              <w:lastRenderedPageBreak/>
              <w:t>组织中心组集中学习意识形态理论2次。高度关注及时处理舆情，积极参与网上跟评。充分利用书记讲党课、主题党日等深入开展习近平新时代中国特色社会主义宣讲活动、社会主义核心价值观培育活动，举办道德讲堂4次，移风易俗经验交流活动1次。组织志愿者开展了疫情防控、马路市场整治、人居环境整治等新时代文明实践活动。党委信息被单篇采用20条，综合采用126篇；通讯信息被湖南卫视、湖南日报等媒体采纳约70条，其中市级以上媒体50余条，省级以上媒体7条，多家主流媒体宣介了我镇项目建设、先进典型和经验做法。</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3.严管武装工作。打牢武装工作高举旗帜、听党指挥、履行使命的思想政治基础，定期召开党委会议听取武装工作开展情况汇报，安排部署全镇武装工作，把武装工作与党建、经济工作同抓共管。全年共组织全体镇村干部、基干民兵学习国防和军队建设、武装工作会议精神12场（次），参与人数800余人（次）；开展基干民兵集训1次，51人次；积极开展“学条令、正秩序、保稳定”和党的基本路线、形势、国防和光荣传统“四项”教育；新建中湾村、先丰桥村等标准化民兵连2处，成功创建三星级基层武装部；圆满完成年度征兵任务，成功向部队输送兵源9人。</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（二）强基固本，全面加强基层党组织建设</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1.基层治理创活力。全面推行“党建+”工作新模式，促进了“党建+脱贫攻坚”“党建+重点项目”等重点工作的深度融合。全面实施“五个一”工程，扎实抓基层治理，2020年民调排名位居全市第五、全县第一。持续推进党支部“五化”建设，华中村被授予第三批“五星”党支部，全镇“五星”党支部达到5个，机关离退休干</w:t>
            </w:r>
            <w:r>
              <w:rPr>
                <w:rFonts w:ascii="仿宋_GB2312" w:eastAsia="仿宋_GB2312" w:hAnsi="仿宋_GB2312" w:cs="仿宋_GB2312" w:hint="eastAsia"/>
                <w:sz w:val="24"/>
              </w:rPr>
              <w:lastRenderedPageBreak/>
              <w:t>部支部成功创建省示范离退休干部党支部。</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2.村级换届高标准。坚持把村“两委”换届作为首要政治任务，把握好“七个导向”，高起点谋划，高标准部署，高质量推进。实施村政治建设考察，整顿软弱涣散党组织2个，优化党组织16个，完成财务清查审计，夯实“两委”换届基础。严格依法选举，严肃换届风气，做到“会会有记录，事事均公示”，风清气正、高质高效地完成了全镇16个村“两委”的换届选举，产生新一届村“两委”成员85人，新进“两委”成员46人。新一届“两委”班子结构显著优化，成员平均年龄降至43岁，大专及以上水平39人，相较上届提升14%，实现年龄、学历“一降一升”；成员中女性40人，占比47%，其中有3名工作出色、能力突出的女同志分别担任河口村、红陶村、石枫村总支书记，打破河口原总支书记全员男性的状况；16个村全面实行书记主任“一肩挑”。尤其是湘潭生活垃圾焚烧发电项目核心区的宏兴村，现任村干部全体起立，在本次村“两委”换届推选中实现两委成员4人年龄均在35岁以下，1人45岁。</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3.抗疫防控聚民心。依托“党建引领社会治理百千万工程”，以党员网格为基础，成立34支党员突击队，75个党员示范岗，组织发动广大党员干部深入村组开展疫情监测、人员劝返、宣传发动等群防群控工作。共暂停集贸市场4个，麻将馆70家、KTV5家、餐饮场所76家、网吧3家、寺庙4座，延期或取消红白喜事73户。广泛动员广大党员、社会各界募集捐赠40余万元，其中党员捐款260787元。以党政负责人为组长选派驻企联络员26人，深入辖区14家规模企业和中小微企业指导疫情防控和复工复产。</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lastRenderedPageBreak/>
              <w:t>（三）有为有位，全面加强干部队伍建设</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1.</w:t>
            </w:r>
            <w:r w:rsidR="004979BE">
              <w:rPr>
                <w:rFonts w:ascii="仿宋_GB2312" w:eastAsia="仿宋_GB2312" w:hAnsi="仿宋_GB2312" w:cs="仿宋_GB2312" w:hint="eastAsia"/>
                <w:sz w:val="24"/>
              </w:rPr>
              <w:t>队伍建设显担当。向县委推荐提拔副科级事业干部一人，提拔</w:t>
            </w:r>
            <w:r>
              <w:rPr>
                <w:rFonts w:ascii="仿宋_GB2312" w:eastAsia="仿宋_GB2312" w:hAnsi="仿宋_GB2312" w:cs="仿宋_GB2312" w:hint="eastAsia"/>
                <w:sz w:val="24"/>
              </w:rPr>
              <w:t>优秀年轻干部10人担任中层干部。实现基层公共服务（一门式）全覆盖，选聘16名党务政务专干，累计为群众代办事项1350余件。举办入党积极分子暨党员发展对象培训2期，发展党员20名，预备党员转正25名。申报华中村为2021年中央财政资金重点扶持项目村。天易农商银行8名金融村官正式任命入驻，合计投放农户贷款106户，投放贷款金额423.5万元，助力村民致富和村集体经济发展。</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2.反腐倡廉不放松。树立“过紧日子”思想，着力建设节约型机关，强化机关干部节约意识，举行节能宣传周活动。加强对机关食堂的管理和监督，避免浪费现象。严格执行谈话制度，共开展集体或个人廉政谈话40次,开展明察暗访4次，下发督查通报6期，通报批评8人次，给予诫勉谈话1人次，提醒谈话4人次，约谈2人。严肃执纪问责，党纪政务立案8起，办结8起，给予警告处分1人,党内严重警告处分3人，党内警告处分3人，开除党籍处分1人。</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二、抓项目，促发展，释放经济发展新动力</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1.经济指标健康运行。2020年实现全镇工业总产值20.7亿元，其中规模工业生产总值18.02亿元；固定资产投入14.21亿元，完成全年任务目标157.89%，其中工业固定资产投入9.71亿元，完成全年任务目标156.61%；财政税收5745万元，完成全年任务目标112.65%。农民纯收入达到27127元。</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2.项目建设如火如荼。坚持党建引领，项目推动，落实“六稳</w:t>
            </w:r>
            <w:r w:rsidR="004979BE">
              <w:rPr>
                <w:rFonts w:ascii="仿宋_GB2312" w:eastAsia="仿宋_GB2312" w:hAnsi="仿宋_GB2312" w:cs="仿宋_GB2312" w:hint="eastAsia"/>
                <w:sz w:val="24"/>
              </w:rPr>
              <w:t>”、“</w:t>
            </w:r>
            <w:r>
              <w:rPr>
                <w:rFonts w:ascii="仿宋_GB2312" w:eastAsia="仿宋_GB2312" w:hAnsi="仿宋_GB2312" w:cs="仿宋_GB2312" w:hint="eastAsia"/>
                <w:sz w:val="24"/>
              </w:rPr>
              <w:t>六保”要求。8月18日成功主办河口</w:t>
            </w:r>
            <w:r>
              <w:rPr>
                <w:rFonts w:ascii="仿宋_GB2312" w:eastAsia="仿宋_GB2312" w:hAnsi="仿宋_GB2312" w:cs="仿宋_GB2312" w:hint="eastAsia"/>
                <w:sz w:val="24"/>
              </w:rPr>
              <w:lastRenderedPageBreak/>
              <w:t>镇六大重大（重点）项目集中开工仪式，六个项目涵括节能建材、物流运输、精密机械等领域，总投资额5.75亿元，项目建成后将解决劳动力就业1000人以上，税收3000万元以上。湘潭生活垃圾焚烧发电项目于12月28日举办主体竣工仪式，顺利完成主体工程建设。长乐建材、县离心机厂、双板桥农贸市场、同康医院等项目正在进行主体工程建设，预计明年上半年都能投产。</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3.精致农业加快发展。全面完成两稳两保任务，粮食播种面积77690亩，总产量32958吨。创建华中村优质稻生产“千亩示范片”。新增结构调整1000亩，推广稻渔共养300亩。积极推广新型机抛秧农机具2台，水稻综合机械化率平均85%以上。积极开展生猪复养工作，申报生猪复产复养项目5户7.5万元。</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三、抓重点，惠民生，开创乡村振兴新局面</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1.人居环境不断改善。完善基础设施建设，完成通自然村村道9.5公里，建设高标准山塘24口，堤垸（河渠）扫障120公里以上，加固堤防18.27公里;开展危房改造共计55户；全面推进生活垃圾处理付费制度;认真开展农村厕所革命回头看工作，全面排查整改三格式无害化化粪池588处。持续加大生态环境保护，全面完成植树造林任务10.2万株，深入推进秸秆禁烧工作，成功申报三华村为县级秸秆综合利用示范村；严格落实“河长制”，积极开展水域环境整治、河道巡查；关闭散乱污企业1家、非法洗沙场2处，关停并拆除河道内非法预制场3家；做好湘江禁捕退捕工作，集中清理湘江干流“三无船舶”31艘。</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2.脱贫攻坚精准发力。全镇建档立卡贫困户608户1611人实现全面脱贫，贫困户“一超过两不愁三保障”</w:t>
            </w:r>
            <w:r>
              <w:rPr>
                <w:rFonts w:ascii="仿宋_GB2312" w:eastAsia="仿宋_GB2312" w:hAnsi="仿宋_GB2312" w:cs="仿宋_GB2312" w:hint="eastAsia"/>
                <w:sz w:val="24"/>
              </w:rPr>
              <w:lastRenderedPageBreak/>
              <w:t>水平稳步提升；认真实施特色种养业扶贫项目92批次，发放各级产业扶贫资金146万元，带动56户贫困户62人就业，人均增收5000元；教育保障政策惠及199名建档立卡贫困学生；申报转移就业交通补助325人，一次性求职创业补助100人，开发村级公益性岗位22个，申报扶贫车间1家，安置贫困户6人；发放扶贫小额信贷346万元，惠及92户贫困户，人均增收2200元。</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3.民生工作成效明显。落实孕前检查280人次，两癌筛查750人次，产前筛查180人次；新增农村劳动力就业262人，城镇劳动力就业191人；办理各类医保报销4523人次、1617万余元；落实城乡低保保障594户1101人，特困供养对象334人，临时救助351人次，残疾人两项补贴982人，高龄补贴185人。新建8个邻里互助点、10个莲湘颐老守望之家。</w:t>
            </w:r>
          </w:p>
          <w:p w:rsidR="00A22DE5" w:rsidRDefault="00812CF7">
            <w:pPr>
              <w:spacing w:line="540" w:lineRule="exact"/>
              <w:ind w:firstLineChars="210" w:firstLine="504"/>
              <w:rPr>
                <w:rFonts w:ascii="仿宋_GB2312" w:eastAsia="仿宋_GB2312" w:hAnsi="仿宋_GB2312" w:cs="仿宋_GB2312"/>
                <w:sz w:val="24"/>
              </w:rPr>
            </w:pPr>
            <w:r>
              <w:rPr>
                <w:rFonts w:ascii="仿宋_GB2312" w:eastAsia="仿宋_GB2312" w:hAnsi="仿宋_GB2312" w:cs="仿宋_GB2312" w:hint="eastAsia"/>
                <w:sz w:val="24"/>
              </w:rPr>
              <w:t>4.社会事业全面进步。成功举办2020年“欢乐潇湘·莲乡大舞台”巡（展）演活动，开展送戏曲下乡村活动4场次。评选“美丽庭院”2005户，“莲乡文明家庭”“莲乡好婆婆”“莲乡好媳妇”6户，其中宏兴村皇甫玉成家庭被评为全国最美家庭。</w:t>
            </w:r>
          </w:p>
          <w:p w:rsidR="00A22DE5" w:rsidRDefault="00812CF7">
            <w:pPr>
              <w:spacing w:line="56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5.社会大局和谐稳定。培育打造卓江村、红陶村两个“雪亮工程”平安乡村试点；全镇共排查矛盾纠纷82起，调解矛盾纠纷40件；摸排和收到扫黑除恶线索23条、接收中央16督导组移交信访件6件，已全部办理；受理、办理群众信访23批85人次；严格落实安全生产责任，查处违法违规行为445起、收取罚金128250元，取缔关闭生产经营单位4个，治安拘留3人，对检查发现的128个隐患问题全部整改到位。</w:t>
            </w:r>
          </w:p>
        </w:tc>
      </w:tr>
      <w:tr w:rsidR="00A22DE5">
        <w:trPr>
          <w:trHeight w:val="1856"/>
          <w:jc w:val="center"/>
        </w:trPr>
        <w:tc>
          <w:tcPr>
            <w:tcW w:w="1384" w:type="dxa"/>
            <w:vMerge w:val="restart"/>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（一）预算编制的口径与实际执行不太一致；</w:t>
            </w:r>
          </w:p>
          <w:p w:rsidR="00A22DE5" w:rsidRDefault="00812CF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（二）工业</w:t>
            </w:r>
            <w:r>
              <w:rPr>
                <w:rFonts w:ascii="仿宋_GB2312" w:eastAsia="仿宋_GB2312" w:hAnsi="仿宋_GB2312" w:cs="仿宋_GB2312"/>
                <w:sz w:val="24"/>
              </w:rPr>
              <w:t>园区带动经济发展</w:t>
            </w:r>
            <w:r>
              <w:rPr>
                <w:rFonts w:ascii="仿宋_GB2312" w:eastAsia="仿宋_GB2312" w:hAnsi="仿宋_GB2312" w:cs="仿宋_GB2312" w:hint="eastAsia"/>
                <w:sz w:val="24"/>
              </w:rPr>
              <w:t>的作用</w:t>
            </w:r>
            <w:r>
              <w:rPr>
                <w:rFonts w:ascii="仿宋_GB2312" w:eastAsia="仿宋_GB2312" w:hAnsi="仿宋_GB2312" w:cs="仿宋_GB2312"/>
                <w:sz w:val="24"/>
              </w:rPr>
              <w:t>没有最大化，还有潜力可挖</w:t>
            </w:r>
            <w:r>
              <w:rPr>
                <w:rFonts w:ascii="仿宋_GB2312" w:eastAsia="仿宋_GB2312" w:hAnsi="仿宋_GB2312" w:cs="仿宋_GB2312" w:hint="eastAsia"/>
                <w:sz w:val="24"/>
              </w:rPr>
              <w:t>；</w:t>
            </w:r>
          </w:p>
          <w:p w:rsidR="00A22DE5" w:rsidRDefault="00812CF7">
            <w:pPr>
              <w:spacing w:line="600" w:lineRule="exact"/>
              <w:ind w:firstLineChars="200" w:firstLine="480"/>
              <w:rPr>
                <w:rFonts w:ascii="仿宋_GB2312" w:eastAsia="仿宋_GB2312" w:hAnsi="宋体" w:cs="宋体"/>
                <w:sz w:val="24"/>
              </w:rPr>
            </w:pPr>
            <w:r>
              <w:rPr>
                <w:rFonts w:ascii="仿宋_GB2312" w:eastAsia="仿宋_GB2312" w:hAnsi="仿宋_GB2312" w:cs="仿宋_GB2312" w:hint="eastAsia"/>
                <w:sz w:val="24"/>
              </w:rPr>
              <w:t>（</w:t>
            </w:r>
            <w:r>
              <w:rPr>
                <w:rFonts w:ascii="仿宋_GB2312" w:eastAsia="仿宋_GB2312" w:hAnsi="仿宋_GB2312" w:cs="仿宋_GB2312"/>
                <w:sz w:val="24"/>
              </w:rPr>
              <w:t>三）</w:t>
            </w:r>
            <w:r>
              <w:rPr>
                <w:rFonts w:ascii="仿宋_GB2312" w:eastAsia="仿宋_GB2312" w:hAnsi="仿宋_GB2312" w:cs="仿宋_GB2312" w:hint="eastAsia"/>
                <w:sz w:val="24"/>
              </w:rPr>
              <w:t>污染</w:t>
            </w:r>
            <w:r>
              <w:rPr>
                <w:rFonts w:ascii="仿宋_GB2312" w:eastAsia="仿宋_GB2312" w:hAnsi="仿宋_GB2312" w:cs="仿宋_GB2312"/>
                <w:sz w:val="24"/>
              </w:rPr>
              <w:t>防治情况要</w:t>
            </w:r>
            <w:r>
              <w:rPr>
                <w:rFonts w:ascii="仿宋_GB2312" w:eastAsia="仿宋_GB2312" w:hAnsi="仿宋_GB2312" w:cs="仿宋_GB2312" w:hint="eastAsia"/>
                <w:sz w:val="24"/>
              </w:rPr>
              <w:t>加</w:t>
            </w:r>
            <w:r>
              <w:rPr>
                <w:rFonts w:ascii="仿宋_GB2312" w:eastAsia="仿宋_GB2312" w:hAnsi="仿宋_GB2312" w:cs="仿宋_GB2312"/>
                <w:sz w:val="24"/>
              </w:rPr>
              <w:t>大力度</w:t>
            </w:r>
            <w:r>
              <w:rPr>
                <w:rFonts w:ascii="仿宋_GB2312" w:eastAsia="仿宋_GB2312" w:hAnsi="仿宋_GB2312" w:cs="仿宋_GB2312" w:hint="eastAsia"/>
                <w:sz w:val="24"/>
              </w:rPr>
              <w:t>。</w:t>
            </w:r>
          </w:p>
        </w:tc>
      </w:tr>
      <w:tr w:rsidR="00A22DE5">
        <w:trPr>
          <w:trHeight w:val="1690"/>
          <w:jc w:val="center"/>
        </w:trPr>
        <w:tc>
          <w:tcPr>
            <w:tcW w:w="1384" w:type="dxa"/>
            <w:vMerge/>
          </w:tcPr>
          <w:p w:rsidR="00A22DE5" w:rsidRDefault="00A22DE5">
            <w:pPr>
              <w:spacing w:line="576" w:lineRule="exact"/>
              <w:jc w:val="center"/>
              <w:rPr>
                <w:rFonts w:ascii="仿宋_GB2312" w:eastAsia="仿宋_GB2312" w:hAnsi="宋体" w:cs="宋体"/>
                <w:sz w:val="24"/>
              </w:rPr>
            </w:pP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A22DE5" w:rsidRDefault="00812CF7">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1、加强</w:t>
            </w:r>
            <w:r>
              <w:rPr>
                <w:rFonts w:ascii="仿宋_GB2312" w:eastAsia="仿宋_GB2312" w:hAnsi="宋体" w:cs="宋体"/>
                <w:sz w:val="24"/>
              </w:rPr>
              <w:t>财政管理</w:t>
            </w:r>
            <w:r>
              <w:rPr>
                <w:rFonts w:ascii="仿宋_GB2312" w:eastAsia="仿宋_GB2312" w:hAnsi="宋体" w:cs="宋体" w:hint="eastAsia"/>
                <w:sz w:val="24"/>
              </w:rPr>
              <w:t>。</w:t>
            </w:r>
            <w:r>
              <w:rPr>
                <w:rFonts w:ascii="仿宋_GB2312" w:eastAsia="仿宋_GB2312" w:hAnsi="宋体" w:cs="宋体"/>
                <w:sz w:val="24"/>
              </w:rPr>
              <w:t>预算编制方面</w:t>
            </w:r>
            <w:r>
              <w:rPr>
                <w:rFonts w:ascii="仿宋_GB2312" w:eastAsia="仿宋_GB2312" w:hAnsi="宋体" w:cs="宋体" w:hint="eastAsia"/>
                <w:sz w:val="24"/>
              </w:rPr>
              <w:t>加</w:t>
            </w:r>
            <w:r>
              <w:rPr>
                <w:rFonts w:ascii="仿宋_GB2312" w:eastAsia="仿宋_GB2312" w:hAnsi="宋体" w:cs="宋体"/>
                <w:sz w:val="24"/>
              </w:rPr>
              <w:t>强信息收集，</w:t>
            </w:r>
            <w:r>
              <w:rPr>
                <w:rFonts w:ascii="仿宋_GB2312" w:eastAsia="仿宋_GB2312" w:hAnsi="宋体" w:cs="宋体" w:hint="eastAsia"/>
                <w:sz w:val="24"/>
              </w:rPr>
              <w:t>项目</w:t>
            </w:r>
            <w:r>
              <w:rPr>
                <w:rFonts w:ascii="仿宋_GB2312" w:eastAsia="仿宋_GB2312" w:hAnsi="宋体" w:cs="宋体"/>
                <w:sz w:val="24"/>
              </w:rPr>
              <w:t>细化；资金使用方面严格管控，专款专用，报批手续齐全</w:t>
            </w:r>
            <w:r>
              <w:rPr>
                <w:rFonts w:ascii="仿宋_GB2312" w:eastAsia="仿宋_GB2312" w:hAnsi="宋体" w:cs="宋体" w:hint="eastAsia"/>
                <w:sz w:val="24"/>
              </w:rPr>
              <w:t>。进一步完善内控制度建设，加强“三公”经费开支管理，提高资金使用效能。建立本部门“三公经费”等公务支出管理制度及厉行节约制度，加强经费审批和控制，规范支出标准与范围，并严格执行</w:t>
            </w:r>
          </w:p>
          <w:p w:rsidR="00A22DE5" w:rsidRDefault="00812CF7">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2、深</w:t>
            </w:r>
            <w:r>
              <w:rPr>
                <w:rFonts w:ascii="仿宋_GB2312" w:eastAsia="仿宋_GB2312" w:hAnsi="宋体" w:cs="宋体"/>
                <w:sz w:val="24"/>
              </w:rPr>
              <w:t>挖工业园区潜力，</w:t>
            </w:r>
            <w:r>
              <w:rPr>
                <w:rFonts w:ascii="仿宋_GB2312" w:eastAsia="仿宋_GB2312" w:hAnsi="宋体" w:cs="宋体" w:hint="eastAsia"/>
                <w:sz w:val="24"/>
              </w:rPr>
              <w:t>高</w:t>
            </w:r>
            <w:r>
              <w:rPr>
                <w:rFonts w:ascii="仿宋_GB2312" w:eastAsia="仿宋_GB2312" w:hAnsi="宋体" w:cs="宋体"/>
                <w:sz w:val="24"/>
              </w:rPr>
              <w:t>质</w:t>
            </w:r>
            <w:r>
              <w:rPr>
                <w:rFonts w:ascii="仿宋_GB2312" w:eastAsia="仿宋_GB2312" w:hAnsi="宋体" w:cs="宋体" w:hint="eastAsia"/>
                <w:sz w:val="24"/>
              </w:rPr>
              <w:t>高</w:t>
            </w:r>
            <w:r>
              <w:rPr>
                <w:rFonts w:ascii="仿宋_GB2312" w:eastAsia="仿宋_GB2312" w:hAnsi="宋体" w:cs="宋体"/>
                <w:sz w:val="24"/>
              </w:rPr>
              <w:t>效</w:t>
            </w:r>
            <w:r>
              <w:rPr>
                <w:rFonts w:ascii="仿宋_GB2312" w:eastAsia="仿宋_GB2312" w:hAnsi="宋体" w:cs="宋体" w:hint="eastAsia"/>
                <w:sz w:val="24"/>
              </w:rPr>
              <w:t>为</w:t>
            </w:r>
            <w:r>
              <w:rPr>
                <w:rFonts w:ascii="仿宋_GB2312" w:eastAsia="仿宋_GB2312" w:hAnsi="宋体" w:cs="宋体"/>
                <w:sz w:val="24"/>
              </w:rPr>
              <w:t>园区经济发展服务</w:t>
            </w:r>
            <w:r>
              <w:rPr>
                <w:rFonts w:ascii="仿宋_GB2312" w:eastAsia="仿宋_GB2312" w:hAnsi="宋体" w:cs="宋体" w:hint="eastAsia"/>
                <w:sz w:val="24"/>
              </w:rPr>
              <w:t>。对工</w:t>
            </w:r>
            <w:r>
              <w:rPr>
                <w:rFonts w:ascii="仿宋_GB2312" w:eastAsia="仿宋_GB2312" w:hAnsi="宋体" w:cs="宋体"/>
                <w:sz w:val="24"/>
              </w:rPr>
              <w:t>作做到心中有数，</w:t>
            </w:r>
            <w:r>
              <w:rPr>
                <w:rFonts w:ascii="仿宋_GB2312" w:eastAsia="仿宋_GB2312" w:hAnsi="宋体" w:cs="宋体" w:hint="eastAsia"/>
                <w:sz w:val="24"/>
              </w:rPr>
              <w:t>对</w:t>
            </w:r>
            <w:r>
              <w:rPr>
                <w:rFonts w:ascii="仿宋_GB2312" w:eastAsia="仿宋_GB2312" w:hAnsi="宋体" w:cs="宋体"/>
                <w:sz w:val="24"/>
              </w:rPr>
              <w:t>园区内</w:t>
            </w:r>
            <w:r>
              <w:rPr>
                <w:rFonts w:ascii="仿宋_GB2312" w:eastAsia="仿宋_GB2312" w:hAnsi="宋体" w:cs="宋体" w:hint="eastAsia"/>
                <w:sz w:val="24"/>
              </w:rPr>
              <w:t>各</w:t>
            </w:r>
            <w:r>
              <w:rPr>
                <w:rFonts w:ascii="仿宋_GB2312" w:eastAsia="仿宋_GB2312" w:hAnsi="宋体" w:cs="宋体"/>
                <w:sz w:val="24"/>
              </w:rPr>
              <w:t>单位管理</w:t>
            </w:r>
            <w:r>
              <w:rPr>
                <w:rFonts w:ascii="仿宋_GB2312" w:eastAsia="仿宋_GB2312" w:hAnsi="宋体" w:cs="宋体" w:hint="eastAsia"/>
                <w:sz w:val="24"/>
              </w:rPr>
              <w:t>不触犯</w:t>
            </w:r>
            <w:r>
              <w:rPr>
                <w:rFonts w:ascii="仿宋_GB2312" w:eastAsia="仿宋_GB2312" w:hAnsi="宋体" w:cs="宋体"/>
                <w:sz w:val="24"/>
              </w:rPr>
              <w:t>原则的情况下</w:t>
            </w:r>
            <w:r>
              <w:rPr>
                <w:rFonts w:ascii="仿宋_GB2312" w:eastAsia="仿宋_GB2312" w:hAnsi="宋体" w:cs="宋体" w:hint="eastAsia"/>
                <w:sz w:val="24"/>
              </w:rPr>
              <w:t>手续能</w:t>
            </w:r>
            <w:r>
              <w:rPr>
                <w:rFonts w:ascii="仿宋_GB2312" w:eastAsia="仿宋_GB2312" w:hAnsi="宋体" w:cs="宋体"/>
                <w:sz w:val="24"/>
              </w:rPr>
              <w:t>简则简，报表能省则省，工作上门，</w:t>
            </w:r>
            <w:r>
              <w:rPr>
                <w:rFonts w:ascii="仿宋_GB2312" w:eastAsia="仿宋_GB2312" w:hAnsi="宋体" w:cs="宋体" w:hint="eastAsia"/>
                <w:sz w:val="24"/>
              </w:rPr>
              <w:t>把握</w:t>
            </w:r>
            <w:r>
              <w:rPr>
                <w:rFonts w:ascii="仿宋_GB2312" w:eastAsia="仿宋_GB2312" w:hAnsi="宋体" w:cs="宋体"/>
                <w:sz w:val="24"/>
              </w:rPr>
              <w:t>好服务人民的心态</w:t>
            </w:r>
            <w:r>
              <w:rPr>
                <w:rFonts w:ascii="仿宋_GB2312" w:eastAsia="仿宋_GB2312" w:hAnsi="宋体" w:cs="宋体" w:hint="eastAsia"/>
                <w:sz w:val="24"/>
              </w:rPr>
              <w:t>。</w:t>
            </w:r>
          </w:p>
          <w:p w:rsidR="00A22DE5" w:rsidRDefault="00812CF7">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3、加强污染防</w:t>
            </w:r>
            <w:r>
              <w:rPr>
                <w:rFonts w:ascii="仿宋_GB2312" w:eastAsia="仿宋_GB2312" w:hAnsi="宋体" w:cs="宋体"/>
                <w:sz w:val="24"/>
              </w:rPr>
              <w:t>控</w:t>
            </w:r>
            <w:r>
              <w:rPr>
                <w:rFonts w:ascii="仿宋_GB2312" w:eastAsia="仿宋_GB2312" w:hAnsi="宋体" w:cs="宋体" w:hint="eastAsia"/>
                <w:sz w:val="24"/>
              </w:rPr>
              <w:t>。细</w:t>
            </w:r>
            <w:r>
              <w:rPr>
                <w:rFonts w:ascii="仿宋_GB2312" w:eastAsia="仿宋_GB2312" w:hAnsi="宋体" w:cs="宋体"/>
                <w:sz w:val="24"/>
              </w:rPr>
              <w:t>化各</w:t>
            </w:r>
            <w:r>
              <w:rPr>
                <w:rFonts w:ascii="仿宋_GB2312" w:eastAsia="仿宋_GB2312" w:hAnsi="宋体" w:cs="宋体" w:hint="eastAsia"/>
                <w:sz w:val="24"/>
              </w:rPr>
              <w:t>项</w:t>
            </w:r>
            <w:r>
              <w:rPr>
                <w:rFonts w:ascii="仿宋_GB2312" w:eastAsia="仿宋_GB2312" w:hAnsi="宋体" w:cs="宋体"/>
                <w:sz w:val="24"/>
              </w:rPr>
              <w:t>工作，定期巡查，不定期抽查，对各项数据严格</w:t>
            </w:r>
            <w:r>
              <w:rPr>
                <w:rFonts w:ascii="仿宋_GB2312" w:eastAsia="仿宋_GB2312" w:hAnsi="宋体" w:cs="宋体" w:hint="eastAsia"/>
                <w:sz w:val="24"/>
              </w:rPr>
              <w:t>把</w:t>
            </w:r>
            <w:r>
              <w:rPr>
                <w:rFonts w:ascii="仿宋_GB2312" w:eastAsia="仿宋_GB2312" w:hAnsi="宋体" w:cs="宋体"/>
                <w:sz w:val="24"/>
              </w:rPr>
              <w:t>关，</w:t>
            </w:r>
            <w:r>
              <w:rPr>
                <w:rFonts w:ascii="仿宋_GB2312" w:eastAsia="仿宋_GB2312" w:hAnsi="宋体" w:cs="宋体" w:hint="eastAsia"/>
                <w:sz w:val="24"/>
              </w:rPr>
              <w:t>绝</w:t>
            </w:r>
            <w:r>
              <w:rPr>
                <w:rFonts w:ascii="仿宋_GB2312" w:eastAsia="仿宋_GB2312" w:hAnsi="宋体" w:cs="宋体"/>
                <w:sz w:val="24"/>
              </w:rPr>
              <w:t>不能为了经济而放</w:t>
            </w:r>
            <w:r>
              <w:rPr>
                <w:rFonts w:ascii="仿宋_GB2312" w:eastAsia="仿宋_GB2312" w:hAnsi="宋体" w:cs="宋体" w:hint="eastAsia"/>
                <w:sz w:val="24"/>
              </w:rPr>
              <w:t>松</w:t>
            </w:r>
            <w:r>
              <w:rPr>
                <w:rFonts w:ascii="仿宋_GB2312" w:eastAsia="仿宋_GB2312" w:hAnsi="宋体" w:cs="宋体"/>
                <w:sz w:val="24"/>
              </w:rPr>
              <w:t>环境</w:t>
            </w:r>
            <w:r>
              <w:rPr>
                <w:rFonts w:ascii="仿宋_GB2312" w:eastAsia="仿宋_GB2312" w:hAnsi="宋体" w:cs="宋体" w:hint="eastAsia"/>
                <w:sz w:val="24"/>
              </w:rPr>
              <w:t>治理。</w:t>
            </w:r>
          </w:p>
        </w:tc>
      </w:tr>
      <w:tr w:rsidR="00A22DE5">
        <w:trPr>
          <w:trHeight w:val="1500"/>
          <w:jc w:val="center"/>
        </w:trPr>
        <w:tc>
          <w:tcPr>
            <w:tcW w:w="1384" w:type="dxa"/>
            <w:vMerge/>
          </w:tcPr>
          <w:p w:rsidR="00A22DE5" w:rsidRDefault="00A22DE5">
            <w:pPr>
              <w:spacing w:line="576" w:lineRule="exact"/>
              <w:jc w:val="center"/>
              <w:rPr>
                <w:rFonts w:ascii="仿宋_GB2312" w:eastAsia="仿宋_GB2312" w:hAnsi="宋体" w:cs="宋体"/>
                <w:sz w:val="24"/>
              </w:rPr>
            </w:pPr>
          </w:p>
        </w:tc>
        <w:tc>
          <w:tcPr>
            <w:tcW w:w="1697" w:type="dxa"/>
            <w:vAlign w:val="center"/>
          </w:tcPr>
          <w:p w:rsidR="00A22DE5" w:rsidRDefault="00812CF7">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A22DE5" w:rsidRDefault="00812CF7">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A22DE5" w:rsidRDefault="00A22DE5">
      <w:pPr>
        <w:widowControl/>
        <w:jc w:val="left"/>
        <w:rPr>
          <w:rFonts w:ascii="仿宋_GB2312" w:eastAsia="仿宋_GB2312" w:hAnsi="宋体" w:cs="宋体"/>
          <w:sz w:val="24"/>
        </w:rPr>
      </w:pPr>
    </w:p>
    <w:p w:rsidR="00A22DE5" w:rsidRDefault="00A22DE5">
      <w:pPr>
        <w:rPr>
          <w:rFonts w:ascii="仿宋_GB2312" w:eastAsia="仿宋_GB2312" w:hAnsi="宋体" w:cs="宋体"/>
          <w:sz w:val="24"/>
        </w:rPr>
      </w:pPr>
    </w:p>
    <w:p w:rsidR="00A22DE5" w:rsidRDefault="00A22DE5">
      <w:pPr>
        <w:pStyle w:val="Default"/>
        <w:rPr>
          <w:rFonts w:hAnsi="黑体"/>
          <w:b/>
          <w:sz w:val="32"/>
          <w:szCs w:val="32"/>
        </w:rPr>
      </w:pPr>
    </w:p>
    <w:p w:rsidR="00A22DE5" w:rsidRDefault="00A22DE5">
      <w:pPr>
        <w:jc w:val="left"/>
        <w:rPr>
          <w:rFonts w:ascii="宋体" w:cs="Times New Roman"/>
          <w:color w:val="000000"/>
          <w:kern w:val="0"/>
          <w:sz w:val="32"/>
          <w:szCs w:val="32"/>
        </w:rPr>
      </w:pPr>
    </w:p>
    <w:sectPr w:rsidR="00A22DE5">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方正小标宋_GBK">
    <w:altName w:val="微软雅黑"/>
    <w:charset w:val="86"/>
    <w:family w:val="script"/>
    <w:pitch w:val="default"/>
    <w:sig w:usb0="00000000" w:usb1="00000000" w:usb2="0000000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A5FDF71"/>
    <w:multiLevelType w:val="singleLevel"/>
    <w:tmpl w:val="8A5FDF71"/>
    <w:lvl w:ilvl="0">
      <w:start w:val="5"/>
      <w:numFmt w:val="decimal"/>
      <w:suff w:val="nothing"/>
      <w:lvlText w:val="%1、"/>
      <w:lvlJc w:val="left"/>
    </w:lvl>
  </w:abstractNum>
  <w:abstractNum w:abstractNumId="1" w15:restartNumberingAfterBreak="0">
    <w:nsid w:val="BDCFA643"/>
    <w:multiLevelType w:val="singleLevel"/>
    <w:tmpl w:val="BDCFA643"/>
    <w:lvl w:ilvl="0">
      <w:start w:val="14"/>
      <w:numFmt w:val="decimal"/>
      <w:suff w:val="nothing"/>
      <w:lvlText w:val="%1、"/>
      <w:lvlJc w:val="left"/>
    </w:lvl>
  </w:abstractNum>
  <w:abstractNum w:abstractNumId="2" w15:restartNumberingAfterBreak="0">
    <w:nsid w:val="1BE17582"/>
    <w:multiLevelType w:val="singleLevel"/>
    <w:tmpl w:val="1BE17582"/>
    <w:lvl w:ilvl="0">
      <w:start w:val="13"/>
      <w:numFmt w:val="chineseCounting"/>
      <w:suff w:val="nothing"/>
      <w:lvlText w:val="%1、"/>
      <w:lvlJc w:val="left"/>
      <w:rPr>
        <w:rFonts w:hint="eastAsia"/>
      </w:rPr>
    </w:lvl>
  </w:abstractNum>
  <w:abstractNum w:abstractNumId="3"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FkZGU4N2EwMmU4YmFjNTZkZDlhNWRmNzViNWJlMjY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91598"/>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979BE"/>
    <w:rsid w:val="004B4213"/>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CF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22DE5"/>
    <w:rsid w:val="00A42218"/>
    <w:rsid w:val="00A70249"/>
    <w:rsid w:val="00A70B02"/>
    <w:rsid w:val="00A71D9F"/>
    <w:rsid w:val="00A92E9F"/>
    <w:rsid w:val="00B3373E"/>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27C5214"/>
    <w:rsid w:val="028F6E49"/>
    <w:rsid w:val="02E76D69"/>
    <w:rsid w:val="03B21BF1"/>
    <w:rsid w:val="06101C58"/>
    <w:rsid w:val="06B37672"/>
    <w:rsid w:val="08AC6127"/>
    <w:rsid w:val="0AD3655E"/>
    <w:rsid w:val="0B0F319A"/>
    <w:rsid w:val="0CBE6723"/>
    <w:rsid w:val="0D474670"/>
    <w:rsid w:val="0D8A293C"/>
    <w:rsid w:val="0DCD726B"/>
    <w:rsid w:val="10967755"/>
    <w:rsid w:val="112F445D"/>
    <w:rsid w:val="11CE710E"/>
    <w:rsid w:val="11D71831"/>
    <w:rsid w:val="124E765D"/>
    <w:rsid w:val="12A53D68"/>
    <w:rsid w:val="135160CC"/>
    <w:rsid w:val="14146207"/>
    <w:rsid w:val="154E70AE"/>
    <w:rsid w:val="156C1118"/>
    <w:rsid w:val="15C31904"/>
    <w:rsid w:val="163D0024"/>
    <w:rsid w:val="1784297D"/>
    <w:rsid w:val="18410A13"/>
    <w:rsid w:val="18C16EF3"/>
    <w:rsid w:val="197D7485"/>
    <w:rsid w:val="1C31251A"/>
    <w:rsid w:val="1D1D4003"/>
    <w:rsid w:val="1DCD2D51"/>
    <w:rsid w:val="1E0265CC"/>
    <w:rsid w:val="1F915C7E"/>
    <w:rsid w:val="1FB104BE"/>
    <w:rsid w:val="20CE7B22"/>
    <w:rsid w:val="213F52F2"/>
    <w:rsid w:val="216C198C"/>
    <w:rsid w:val="23AC308C"/>
    <w:rsid w:val="25561B98"/>
    <w:rsid w:val="2608043C"/>
    <w:rsid w:val="264D475F"/>
    <w:rsid w:val="284E65ED"/>
    <w:rsid w:val="2927315F"/>
    <w:rsid w:val="2ADD2863"/>
    <w:rsid w:val="2AF510F1"/>
    <w:rsid w:val="2B0D5850"/>
    <w:rsid w:val="2C4A1F29"/>
    <w:rsid w:val="2C6729B6"/>
    <w:rsid w:val="2DEE67B9"/>
    <w:rsid w:val="2F355C8E"/>
    <w:rsid w:val="2F683877"/>
    <w:rsid w:val="3124429C"/>
    <w:rsid w:val="31C61972"/>
    <w:rsid w:val="31CD5F3F"/>
    <w:rsid w:val="323D48BA"/>
    <w:rsid w:val="36DD6ED4"/>
    <w:rsid w:val="37BC3AC5"/>
    <w:rsid w:val="382F44FB"/>
    <w:rsid w:val="39132A95"/>
    <w:rsid w:val="3A505044"/>
    <w:rsid w:val="3CB11738"/>
    <w:rsid w:val="3DAA6DEC"/>
    <w:rsid w:val="4157042E"/>
    <w:rsid w:val="418F73BE"/>
    <w:rsid w:val="41981026"/>
    <w:rsid w:val="42797335"/>
    <w:rsid w:val="435140E5"/>
    <w:rsid w:val="438F25E2"/>
    <w:rsid w:val="44292F78"/>
    <w:rsid w:val="44581571"/>
    <w:rsid w:val="44EB58E1"/>
    <w:rsid w:val="45A32329"/>
    <w:rsid w:val="46756350"/>
    <w:rsid w:val="47476709"/>
    <w:rsid w:val="474B2221"/>
    <w:rsid w:val="47C36A0E"/>
    <w:rsid w:val="497A278E"/>
    <w:rsid w:val="49B370A7"/>
    <w:rsid w:val="49BC1967"/>
    <w:rsid w:val="4AD00DD8"/>
    <w:rsid w:val="4AE82C13"/>
    <w:rsid w:val="4BA869D5"/>
    <w:rsid w:val="4C4E3B8D"/>
    <w:rsid w:val="4F8D3B03"/>
    <w:rsid w:val="502E1DA6"/>
    <w:rsid w:val="51021967"/>
    <w:rsid w:val="51283D83"/>
    <w:rsid w:val="51FB6915"/>
    <w:rsid w:val="52A23E03"/>
    <w:rsid w:val="52B633F7"/>
    <w:rsid w:val="54751090"/>
    <w:rsid w:val="54EB4EAE"/>
    <w:rsid w:val="551F163C"/>
    <w:rsid w:val="556B1A0F"/>
    <w:rsid w:val="56424565"/>
    <w:rsid w:val="576E1A54"/>
    <w:rsid w:val="57F10EA3"/>
    <w:rsid w:val="57FF79E1"/>
    <w:rsid w:val="5856312C"/>
    <w:rsid w:val="58D00F8B"/>
    <w:rsid w:val="5A920684"/>
    <w:rsid w:val="5E5A37D0"/>
    <w:rsid w:val="5F2525D5"/>
    <w:rsid w:val="60373FCC"/>
    <w:rsid w:val="608D71FE"/>
    <w:rsid w:val="620C6371"/>
    <w:rsid w:val="62217F0A"/>
    <w:rsid w:val="62E3005A"/>
    <w:rsid w:val="63657CFF"/>
    <w:rsid w:val="6375739A"/>
    <w:rsid w:val="637F3391"/>
    <w:rsid w:val="63954E6E"/>
    <w:rsid w:val="644C1AA2"/>
    <w:rsid w:val="64F422BE"/>
    <w:rsid w:val="65405E30"/>
    <w:rsid w:val="65445244"/>
    <w:rsid w:val="65474383"/>
    <w:rsid w:val="654E63DB"/>
    <w:rsid w:val="663A199C"/>
    <w:rsid w:val="66AC1CAB"/>
    <w:rsid w:val="68B97582"/>
    <w:rsid w:val="68F4768C"/>
    <w:rsid w:val="69BD5CAE"/>
    <w:rsid w:val="6B06502A"/>
    <w:rsid w:val="6B2A021D"/>
    <w:rsid w:val="6B6F7227"/>
    <w:rsid w:val="6BB16924"/>
    <w:rsid w:val="6BD663EF"/>
    <w:rsid w:val="6D9D447C"/>
    <w:rsid w:val="6E09513B"/>
    <w:rsid w:val="6E0A3446"/>
    <w:rsid w:val="6E614F55"/>
    <w:rsid w:val="6FD570F1"/>
    <w:rsid w:val="714448E2"/>
    <w:rsid w:val="717209D9"/>
    <w:rsid w:val="727A2170"/>
    <w:rsid w:val="74103540"/>
    <w:rsid w:val="75740158"/>
    <w:rsid w:val="76C51E30"/>
    <w:rsid w:val="79C766C2"/>
    <w:rsid w:val="7BB01098"/>
    <w:rsid w:val="7CD448F4"/>
    <w:rsid w:val="7CE13A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00309EE-64B0-4CFF-B482-4563DDF02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格式"/>
    <w:qFormat/>
    <w:pPr>
      <w:spacing w:beforeLines="50" w:afterLines="50" w:line="360" w:lineRule="auto"/>
      <w:ind w:firstLineChars="200" w:firstLine="480"/>
    </w:pPr>
    <w:rPr>
      <w:kern w:val="2"/>
      <w:sz w:val="24"/>
      <w:szCs w:val="22"/>
    </w:rPr>
  </w:style>
  <w:style w:type="paragraph" w:styleId="a4">
    <w:name w:val="Balloon Text"/>
    <w:basedOn w:val="a"/>
    <w:link w:val="a5"/>
    <w:uiPriority w:val="99"/>
    <w:semiHidden/>
    <w:qFormat/>
    <w:rPr>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9">
    <w:name w:val="页眉 字符"/>
    <w:basedOn w:val="a1"/>
    <w:link w:val="a8"/>
    <w:uiPriority w:val="99"/>
    <w:qFormat/>
    <w:locked/>
    <w:rPr>
      <w:sz w:val="18"/>
      <w:szCs w:val="18"/>
    </w:rPr>
  </w:style>
  <w:style w:type="character" w:customStyle="1" w:styleId="a7">
    <w:name w:val="页脚 字符"/>
    <w:basedOn w:val="a1"/>
    <w:link w:val="a6"/>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sz w:val="24"/>
      <w:szCs w:val="24"/>
    </w:rPr>
  </w:style>
  <w:style w:type="paragraph" w:customStyle="1" w:styleId="1">
    <w:name w:val="列出段落1"/>
    <w:basedOn w:val="a"/>
    <w:uiPriority w:val="99"/>
    <w:qFormat/>
    <w:pPr>
      <w:ind w:firstLineChars="200" w:firstLine="420"/>
    </w:pPr>
  </w:style>
  <w:style w:type="character" w:customStyle="1" w:styleId="a5">
    <w:name w:val="批注框文本 字符"/>
    <w:basedOn w:val="a1"/>
    <w:link w:val="a4"/>
    <w:uiPriority w:val="99"/>
    <w:semiHidden/>
    <w:qFormat/>
    <w:locked/>
    <w:rPr>
      <w:sz w:val="18"/>
      <w:szCs w:val="18"/>
    </w:rPr>
  </w:style>
  <w:style w:type="paragraph" w:customStyle="1" w:styleId="ListParagraph1">
    <w:name w:val="List Paragraph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39</Pages>
  <Words>3381</Words>
  <Characters>19274</Characters>
  <Application>Microsoft Office Word</Application>
  <DocSecurity>0</DocSecurity>
  <Lines>160</Lines>
  <Paragraphs>45</Paragraphs>
  <ScaleCrop>false</ScaleCrop>
  <Company>Microsoft</Company>
  <LinksUpToDate>false</LinksUpToDate>
  <CharactersWithSpaces>22610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5</cp:revision>
  <cp:lastPrinted>2022-06-27T04:33:00Z</cp:lastPrinted>
  <dcterms:created xsi:type="dcterms:W3CDTF">2023-03-28T07:45:00Z</dcterms:created>
  <dcterms:modified xsi:type="dcterms:W3CDTF">2023-04-13T03:28:00Z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2052-11.1.0.10314</vt:lpwstr>
  </property>
  <property fmtid="{D5CDD505-2E9C-101B-9397-08002B2CF9AE}" pid="4" name="ICV">
    <vt:lpwstr>4C137A16D70A4D80A57E7A5BF39460D1</vt:lpwstr>
  </property>
</Properties>
</file>