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1"/>
        <w:gridCol w:w="540"/>
        <w:gridCol w:w="753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2019年中小微企业服务体系建设及公共服务平台建设经费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项目支出绩效评价报告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56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部门概况</w:t>
            </w:r>
          </w:p>
        </w:tc>
        <w:tc>
          <w:tcPr>
            <w:tcW w:w="32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专项名称</w:t>
            </w:r>
          </w:p>
        </w:tc>
        <w:tc>
          <w:tcPr>
            <w:tcW w:w="45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中小微企业服务体系建设及公共服务平台建设经费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5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年度预算金额</w:t>
            </w:r>
          </w:p>
        </w:tc>
        <w:tc>
          <w:tcPr>
            <w:tcW w:w="45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5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项目主管部门</w:t>
            </w:r>
          </w:p>
        </w:tc>
        <w:tc>
          <w:tcPr>
            <w:tcW w:w="45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湘潭县科技和工业信息化局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评价结果</w:t>
            </w:r>
          </w:p>
        </w:tc>
        <w:tc>
          <w:tcPr>
            <w:tcW w:w="45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0" w:hRule="atLeast"/>
        </w:trPr>
        <w:tc>
          <w:tcPr>
            <w:tcW w:w="15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项目立项目的</w:t>
            </w:r>
          </w:p>
        </w:tc>
        <w:tc>
          <w:tcPr>
            <w:tcW w:w="45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到2018年10月底，湘潭县共有规模中小企业230家，企业数量逐年递增，发展较为迅速。但企业服务资源相对滞后，在解决中小企业共性需求，畅通信息渠道，改善经营管理，提高发展质量，增强市场竞争力，实现创新发展等方面的服务能力远远不够满足当前企业发展的需求。中小企业公共服务平台作为服务展示的窗口，服务对接的平台，服务协作的网络，是政府、企业和服务机构共同的助手。政府职能部门可以通过平台网络随时了解企业需求、分析要素供给、提供电子政务服务、掌握服务过程和结果；中小企业可以随时随地挑选服务产品，一般性服务伸手可得，个性化服务随心订制，资源快速融通，需求及时解决；服务机构可不受地域限制，向成千上万的中小企业发送服务产品信息，扩大受众群体。 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5" w:hRule="atLeast"/>
        </w:trPr>
        <w:tc>
          <w:tcPr>
            <w:tcW w:w="156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绩效情况</w:t>
            </w:r>
          </w:p>
        </w:tc>
        <w:tc>
          <w:tcPr>
            <w:tcW w:w="32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项目支出管理和使用基本情况</w:t>
            </w:r>
          </w:p>
        </w:tc>
        <w:tc>
          <w:tcPr>
            <w:tcW w:w="45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年度该项目设立了具体、量化的目标，健全了制度，核算规范，遵循了相关法律法规的规定，项目的立项、申报、批复、决策等符合相关管理办法的程序要求，资金拨付到位、及时，且没有虚列、截留、超标和超预算等违纪违规行为，符合县域经济社会发展和我局年度工作计划的要求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5" w:hRule="atLeast"/>
        </w:trPr>
        <w:tc>
          <w:tcPr>
            <w:tcW w:w="156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项目绩效目标完成情况</w:t>
            </w:r>
          </w:p>
        </w:tc>
        <w:tc>
          <w:tcPr>
            <w:tcW w:w="45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1、运营数据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）目前线上服务窗口稳步开展，今年平台公众号信息发布146条，浏览次数11000次，线上平台窗口信息发布184条，点击流量21万次。线上服务窗口共有单位注册主体837家，其中企业用户671家，服务机构94家，政府机构34家，行业协会31家，产业园区7家；个人注册用户248人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（2）截至目前，湘潭县中小平台（ID：xtxzxpt）公众号关注粉丝747人，湘潭县企业服务（ID：xtxtxjxj）公众号关注粉丝465人。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2、信息发布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（1）湘潭县中小企业公共服务平台PC端及移动端，始终保持常规更新，共发布政务信息、通知公告、经济运行各类有效信息20 余条，并在中小微企业微信群甄选转发。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（2）平台微信公众号747人关注，平台微信公众号共群发14次，推送文章146篇。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（3）重要信息和内容，进行了短信群发及二次推送。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3、企业服务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地走访调研50余家企业，收集企业需求、填写企业调研表，汇总企业共性需求，建立信息库；为10余家中小企业提供了工商注册（变更）、银行开户、税务登记、代理记账等服务；为3家园区企业在高企认定、专利申报方面提供了项目申报指导服务，并积极对接了相关服务机构；免费提供企业政策咨询20余次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已组织的活动中，有关政府政策的解读培训就达到8次，接受培训740人/次。通过平台合作金融机构，湘潭烘尚食品有限公司成功获得建设银行100万融资，并在后续对烘尚食品计划2000万的放贷款项；“湖南亚安智控设备有限公司”和“湖南智新图科技有限公司”获得正润私募基金15万和30万元的创投基金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4、活动开展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截至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目前平台共举办或协办大小活动22次，参加人数累计1785人/次，规模200人以上3次。其中完成了10场培训（包括2场项目路演培训）,培训的本地人员850多人/次。实现创新创业人才就业人才150人。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4" w:hRule="atLeast"/>
        </w:trPr>
        <w:tc>
          <w:tcPr>
            <w:tcW w:w="156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存在的问题分析及改进措施</w:t>
            </w:r>
          </w:p>
        </w:tc>
        <w:tc>
          <w:tcPr>
            <w:tcW w:w="32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存在的问题</w:t>
            </w:r>
          </w:p>
        </w:tc>
        <w:tc>
          <w:tcPr>
            <w:tcW w:w="45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平台模块分散而全面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但不聚焦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未能满足并解决企业用户的核心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需求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，导致用户对平台的依赖性不够、黏性不高、参与性不强。</w:t>
            </w: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版式设计较为传统，未分析用户需求及用户心理，平台操作不够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直观、简便，导致用户体验不佳。</w:t>
            </w: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平台工作人员缺少相关工作经验，知识结构、业务水平和企业需求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之间存在一定的差距。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4" w:hRule="atLeast"/>
        </w:trPr>
        <w:tc>
          <w:tcPr>
            <w:tcW w:w="15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改进措施</w:t>
            </w:r>
          </w:p>
        </w:tc>
        <w:tc>
          <w:tcPr>
            <w:tcW w:w="45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tabs>
                <w:tab w:val="left" w:pos="1387"/>
              </w:tabs>
              <w:bidi w:val="0"/>
              <w:jc w:val="left"/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、完善平台各项功能。平台在完成硬件建设的同时，将重点完善辅导功能、融资功能、市场功能、人才功能及宣传功能。打造设施完善、功能完备、资源丰富、专业高效的新型服务平台，形成一整套的培训体系、运营体系、考核体系、服务标准与流程。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围绕企业需求，全面提升服务水平。我们将服从中小企业管理部门的正确领导，积极配合工作，充分发挥自身作用，组织、集聚社会服务资源，做好服务中小企业的大文章，在高效服务过程中发展壮大自己。贴近企业需求做好服务，定期开展调查研究，建立企业需求信息库，提供个性化和量身定做的个性化服务。通过夯实基础工作，提高工作主动性和针对性，更好地拓展服务内容，提升服务实效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3、拓展服务领域，完善实体平台。我们将在管理升级、人才培育、应急互助、融资服务和技术创新等方面进一步拓展服务领域，积极整合资源，构建和完善实体化公共服务平台。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4、进一步加强融资调研工作，积极争取各类专项资金对中小企业的扶持，多渠道拓展服务范围。与中小企业加强沟通，与银行建立长期合作关系，为解决中小企业“贷款难”问题提供实实在在的服务。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加强平台宣传推广力度。让企业了解平台线上线下的作用，吸引企业在平台网站注册、使用，提升平台活跃度。加大平台线上品牌的媒体宣传与推介，组织开展各类服务活动，持续扩大平台网络的社会影响力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6、数据分析的挖掘，继续做好平台线上线下服务数据的报送和分析，加强服务运营情况的跟踪与分析，积极配合政府部门开展中小企业相关市场调研和问卷调查。</w:t>
            </w:r>
          </w:p>
          <w:p>
            <w:pPr>
              <w:tabs>
                <w:tab w:val="left" w:pos="1387"/>
              </w:tabs>
              <w:bidi w:val="0"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ab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5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其他需要说明问题</w:t>
            </w:r>
          </w:p>
        </w:tc>
        <w:tc>
          <w:tcPr>
            <w:tcW w:w="45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、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tbl>
      <w:tblPr>
        <w:tblStyle w:val="2"/>
        <w:tblW w:w="5000" w:type="pct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392"/>
        <w:gridCol w:w="472"/>
        <w:gridCol w:w="347"/>
        <w:gridCol w:w="482"/>
        <w:gridCol w:w="402"/>
        <w:gridCol w:w="2476"/>
        <w:gridCol w:w="2936"/>
        <w:gridCol w:w="37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2019年中小微企业服务体系建设及公共服务平台建设经费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项目支出绩效评价评分表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一级指标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分值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二级指标</w:t>
            </w: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分值</w:t>
            </w: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三级指标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分值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指标解释</w:t>
            </w:r>
          </w:p>
        </w:tc>
        <w:tc>
          <w:tcPr>
            <w:tcW w:w="1761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评价标准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得分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7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项目决策</w:t>
            </w:r>
          </w:p>
        </w:tc>
        <w:tc>
          <w:tcPr>
            <w:tcW w:w="23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5" name="Line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Line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sz w:val="18"/>
                <w:szCs w:val="18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6" name="Line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Line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sz w:val="18"/>
                <w:szCs w:val="18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7" name="Line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Line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sz w:val="18"/>
                <w:szCs w:val="18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8" name="Line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Line_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项目目标</w:t>
            </w: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目标内容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目标是否明确、细化、量化</w:t>
            </w:r>
          </w:p>
        </w:tc>
        <w:tc>
          <w:tcPr>
            <w:tcW w:w="1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目标明确（1分），目标细化（1分），目标量化（2分）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8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决策过程</w:t>
            </w:r>
          </w:p>
        </w:tc>
        <w:tc>
          <w:tcPr>
            <w:tcW w:w="2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决策依据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项目是否符合经济社会发展规划和部门年度工作计划；是否根据需要制定中长期实施规划</w:t>
            </w:r>
          </w:p>
        </w:tc>
        <w:tc>
          <w:tcPr>
            <w:tcW w:w="1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项目符合经济社会发展规划和部门年度工作计划（2分），根据需要制定中长期实施规划（1分）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2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决策程序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项目是否符合申报条件；申报、批复程序是否符合相关管理办法；项目调整是否履行相应手续</w:t>
            </w:r>
          </w:p>
        </w:tc>
        <w:tc>
          <w:tcPr>
            <w:tcW w:w="1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项目符合申报条件（2分），申报、批复程序符合相关管理办法（2分），项目实施调整履行相应手续（1分）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0" w:hRule="atLeast"/>
        </w:trPr>
        <w:tc>
          <w:tcPr>
            <w:tcW w:w="2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8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资金分配</w:t>
            </w:r>
          </w:p>
        </w:tc>
        <w:tc>
          <w:tcPr>
            <w:tcW w:w="2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分配办法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是否根据需要制定相关资金管理办法，并在管理办法中明确资金分配办法；资金分配因素是否全面、合理</w:t>
            </w:r>
          </w:p>
        </w:tc>
        <w:tc>
          <w:tcPr>
            <w:tcW w:w="1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办法健全、规范（1分），因素选择全面、合理（1分）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2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分配结果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资金分配是否符合相关管理办法；分配结果是否合理</w:t>
            </w:r>
          </w:p>
        </w:tc>
        <w:tc>
          <w:tcPr>
            <w:tcW w:w="1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项目符合相关分配办法（2分），资金分配合理（4分）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7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项目管理</w:t>
            </w:r>
          </w:p>
        </w:tc>
        <w:tc>
          <w:tcPr>
            <w:tcW w:w="23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28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资金到位</w:t>
            </w:r>
          </w:p>
        </w:tc>
        <w:tc>
          <w:tcPr>
            <w:tcW w:w="2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到位率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实际到位/计划到位×100%</w:t>
            </w:r>
          </w:p>
        </w:tc>
        <w:tc>
          <w:tcPr>
            <w:tcW w:w="1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根据项目实际到位资金占计划的比重计算得分（3分）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2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到位时效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资金是否及时到位；若未及时到位，是否影响项目进度</w:t>
            </w:r>
          </w:p>
        </w:tc>
        <w:tc>
          <w:tcPr>
            <w:tcW w:w="1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及时到位（2分），未及时到位但未影响项目进度（1.5分），未及时到位并影响项目进度（0-1分）。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2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8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资金管理</w:t>
            </w:r>
          </w:p>
        </w:tc>
        <w:tc>
          <w:tcPr>
            <w:tcW w:w="2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资金使用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是否存在支出依据不合规、虚列项目支出的情况；是否存在截留、挤占、挪用项目资金情况；是否存在超标准开支情况</w:t>
            </w:r>
          </w:p>
        </w:tc>
        <w:tc>
          <w:tcPr>
            <w:tcW w:w="1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虚列（套取）扣4-7分，支出依据不合规扣1分，截留、挤占、挪用扣3-6分，超标准开支扣2-5分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财务管理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资金管理、费用支出等制度是否健全，是否严格执行；会计核算是否规范</w:t>
            </w:r>
          </w:p>
        </w:tc>
        <w:tc>
          <w:tcPr>
            <w:tcW w:w="1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财务制度健全（1分），严格执行制度（1分），会计核算规范（1分）。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8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组织实施</w:t>
            </w:r>
          </w:p>
        </w:tc>
        <w:tc>
          <w:tcPr>
            <w:tcW w:w="2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组织机构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机构是否健全、分工是否明确</w:t>
            </w:r>
          </w:p>
        </w:tc>
        <w:tc>
          <w:tcPr>
            <w:tcW w:w="1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机构健全、分工明确（1分）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管理制度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是否建立健全项目管理制度；是否严格执行相关项目管理制度</w:t>
            </w:r>
          </w:p>
        </w:tc>
        <w:tc>
          <w:tcPr>
            <w:tcW w:w="1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建立健全项目管理制度（2分）；严格执行相关项目管理制度（7分）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7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项目绩效</w:t>
            </w:r>
          </w:p>
        </w:tc>
        <w:tc>
          <w:tcPr>
            <w:tcW w:w="23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55</w:t>
            </w:r>
          </w:p>
        </w:tc>
        <w:tc>
          <w:tcPr>
            <w:tcW w:w="28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项目产出</w:t>
            </w:r>
          </w:p>
        </w:tc>
        <w:tc>
          <w:tcPr>
            <w:tcW w:w="2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产出数量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5 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项目产出数量是否达到绩效目标</w:t>
            </w:r>
          </w:p>
        </w:tc>
        <w:tc>
          <w:tcPr>
            <w:tcW w:w="1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对照绩效目标评价产出数量（5分）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5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产出质量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4 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项目产出质量是否达到绩效目标</w:t>
            </w:r>
          </w:p>
        </w:tc>
        <w:tc>
          <w:tcPr>
            <w:tcW w:w="1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对照绩效目标评价产出质量（4分）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4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产出时效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项目产出时效是否达到绩效目标</w:t>
            </w:r>
          </w:p>
        </w:tc>
        <w:tc>
          <w:tcPr>
            <w:tcW w:w="1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对照绩效目标评价产出时效（3分）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产出成本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项目产出成本是否按绩效目标控制</w:t>
            </w:r>
          </w:p>
        </w:tc>
        <w:tc>
          <w:tcPr>
            <w:tcW w:w="1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对照绩效目标评价产出成本（3分）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8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项目效果</w:t>
            </w:r>
          </w:p>
        </w:tc>
        <w:tc>
          <w:tcPr>
            <w:tcW w:w="2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40</w:t>
            </w: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经济效益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项目实施是否产生直接或间接经济效益</w:t>
            </w:r>
          </w:p>
        </w:tc>
        <w:tc>
          <w:tcPr>
            <w:tcW w:w="1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对照绩效目标评价经济效益（8分）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社会效益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项目实施是否产生社会综合效益</w:t>
            </w:r>
          </w:p>
        </w:tc>
        <w:tc>
          <w:tcPr>
            <w:tcW w:w="1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对照绩效目标评价社会效益（8分）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环境效益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项目实施是否对环境产生积极或消极影响</w:t>
            </w:r>
          </w:p>
        </w:tc>
        <w:tc>
          <w:tcPr>
            <w:tcW w:w="1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对照绩效目标评价环境效益（8分）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可持续影响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项目实施对人、自然、资源是否带来可持续影响</w:t>
            </w:r>
          </w:p>
        </w:tc>
        <w:tc>
          <w:tcPr>
            <w:tcW w:w="1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对照绩效目标评价可持续影响（8分）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服务对象满意度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项目预期服务对象对项目实施的满意程度</w:t>
            </w:r>
          </w:p>
        </w:tc>
        <w:tc>
          <w:tcPr>
            <w:tcW w:w="1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对照绩效目标评价服务对象满意度（8分）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总分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</w:p>
        </w:tc>
      </w:tr>
    </w:tbl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237C08"/>
    <w:multiLevelType w:val="singleLevel"/>
    <w:tmpl w:val="7B237C0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jNjlkZWFmNzVhOWUzODg5ZDVlNjNlYmQxNzFhMzIifQ=="/>
  </w:docVars>
  <w:rsids>
    <w:rsidRoot w:val="259120EE"/>
    <w:rsid w:val="07A4640A"/>
    <w:rsid w:val="0F0E5499"/>
    <w:rsid w:val="10034445"/>
    <w:rsid w:val="212C23BD"/>
    <w:rsid w:val="22484E15"/>
    <w:rsid w:val="259120EE"/>
    <w:rsid w:val="34242AEA"/>
    <w:rsid w:val="40086A87"/>
    <w:rsid w:val="4F1F4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3265</Words>
  <Characters>3376</Characters>
  <Lines>0</Lines>
  <Paragraphs>0</Paragraphs>
  <TotalTime>1</TotalTime>
  <ScaleCrop>false</ScaleCrop>
  <LinksUpToDate>false</LinksUpToDate>
  <CharactersWithSpaces>3387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2020-10-29T03:35:00Z</dcterms:created>
  <dc:creator>Administrator</dc:creator>
  <cp:lastModifiedBy>相濡以沫</cp:lastModifiedBy>
  <dcterms:modified xsi:type="dcterms:W3CDTF">2023-03-29T08:49:59Z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6427BC26F99C445999AEAEC38838A8F2</vt:lpwstr>
  </property>
</Properties>
</file>