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0518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0"/>
        <w:gridCol w:w="29"/>
        <w:gridCol w:w="1333"/>
        <w:gridCol w:w="1362"/>
        <w:gridCol w:w="100"/>
        <w:gridCol w:w="891"/>
        <w:gridCol w:w="143"/>
        <w:gridCol w:w="1276"/>
        <w:gridCol w:w="434"/>
        <w:gridCol w:w="113"/>
        <w:gridCol w:w="1260"/>
        <w:gridCol w:w="1113"/>
        <w:gridCol w:w="164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1493" w:hRule="atLeast"/>
        </w:trPr>
        <w:tc>
          <w:tcPr>
            <w:tcW w:w="8874" w:type="dxa"/>
            <w:gridSpan w:val="1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方正小标宋_GBK" w:hAnsi="宋体" w:eastAsia="方正小标宋_GBK" w:cs="宋体"/>
                <w:bCs/>
                <w:kern w:val="0"/>
                <w:sz w:val="44"/>
                <w:szCs w:val="44"/>
                <w:lang w:eastAsia="zh-CN"/>
              </w:rPr>
            </w:pPr>
            <w:r>
              <w:rPr>
                <w:rFonts w:hint="eastAsia" w:ascii="方正小标宋_GBK" w:hAnsi="宋体" w:eastAsia="方正小标宋_GBK" w:cs="宋体"/>
                <w:bCs/>
                <w:kern w:val="0"/>
                <w:sz w:val="44"/>
                <w:szCs w:val="44"/>
              </w:rPr>
              <w:t>部门整体支出绩效目标申报表</w:t>
            </w:r>
          </w:p>
          <w:p>
            <w:pPr>
              <w:widowControl/>
              <w:spacing w:line="480" w:lineRule="exact"/>
              <w:jc w:val="center"/>
              <w:rPr>
                <w:rFonts w:ascii="宋体" w:hAnsi="宋体" w:cs="宋体"/>
                <w:b/>
                <w:bCs/>
                <w:kern w:val="0"/>
                <w:sz w:val="44"/>
                <w:szCs w:val="44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6"/>
                <w:szCs w:val="36"/>
              </w:rPr>
              <w:t>（</w:t>
            </w: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6"/>
                <w:szCs w:val="36"/>
                <w:lang w:eastAsia="zh-CN"/>
              </w:rPr>
              <w:t>2023</w:t>
            </w: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6"/>
                <w:szCs w:val="36"/>
              </w:rPr>
              <w:t>年度）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536" w:hRule="atLeast"/>
        </w:trPr>
        <w:tc>
          <w:tcPr>
            <w:tcW w:w="8874" w:type="dxa"/>
            <w:gridSpan w:val="1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填报单位（盖章）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664" w:hRule="atLeast"/>
        </w:trPr>
        <w:tc>
          <w:tcPr>
            <w:tcW w:w="82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部门基本信息</w:t>
            </w:r>
          </w:p>
        </w:tc>
        <w:tc>
          <w:tcPr>
            <w:tcW w:w="1362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单位名称</w:t>
            </w:r>
          </w:p>
        </w:tc>
        <w:tc>
          <w:tcPr>
            <w:tcW w:w="6692" w:type="dxa"/>
            <w:gridSpan w:val="9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湘潭县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供销合作总社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714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通讯地址</w:t>
            </w:r>
          </w:p>
        </w:tc>
        <w:tc>
          <w:tcPr>
            <w:tcW w:w="669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湘潭县易俗河镇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云龙路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584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单位预算绩效管理联系人</w:t>
            </w:r>
          </w:p>
        </w:tc>
        <w:tc>
          <w:tcPr>
            <w:tcW w:w="23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苏建军</w:t>
            </w:r>
          </w:p>
        </w:tc>
        <w:tc>
          <w:tcPr>
            <w:tcW w:w="185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联系电话</w:t>
            </w:r>
          </w:p>
        </w:tc>
        <w:tc>
          <w:tcPr>
            <w:tcW w:w="248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13975252070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695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人员编制数</w:t>
            </w:r>
          </w:p>
        </w:tc>
        <w:tc>
          <w:tcPr>
            <w:tcW w:w="23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26</w:t>
            </w:r>
          </w:p>
        </w:tc>
        <w:tc>
          <w:tcPr>
            <w:tcW w:w="185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实有人数</w:t>
            </w:r>
          </w:p>
        </w:tc>
        <w:tc>
          <w:tcPr>
            <w:tcW w:w="248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1665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单位职能</w:t>
            </w:r>
          </w:p>
        </w:tc>
        <w:tc>
          <w:tcPr>
            <w:tcW w:w="669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firstLine="480" w:firstLineChars="200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主要工作职能为负责研究制订全县供销社的发展战略和规划，指导全县供销社的发展和改革；按照政府授权，对重要农业生产资料和农副产品的供应、收购、调拨、储备等方面进行组织、协调和管理；指导全县供销社为“三农”提供综合服务，建立和完善农业社会化服务体系，强化为农服务功能，促进城乡物交流，把供销社办成真正的农民合作经济组织；宣传、贯彻、执行党和政府有关农村经济工作的方针、政策，大力推动科技兴农工作等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581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054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单位年度收入预算（万元）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收入合计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财政预算拨款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政府性基金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纳入预算管理的非税收入</w:t>
            </w:r>
          </w:p>
        </w:tc>
        <w:tc>
          <w:tcPr>
            <w:tcW w:w="180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上级补助</w:t>
            </w:r>
          </w:p>
        </w:tc>
        <w:tc>
          <w:tcPr>
            <w:tcW w:w="1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其他拨款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540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378.65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378.65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80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594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054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单位年度支出预算（万元）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714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支出合计</w:t>
            </w:r>
          </w:p>
        </w:tc>
        <w:tc>
          <w:tcPr>
            <w:tcW w:w="23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基本支出</w:t>
            </w:r>
          </w:p>
        </w:tc>
        <w:tc>
          <w:tcPr>
            <w:tcW w:w="433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666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378.65</w:t>
            </w:r>
          </w:p>
        </w:tc>
        <w:tc>
          <w:tcPr>
            <w:tcW w:w="23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352.49</w:t>
            </w:r>
          </w:p>
        </w:tc>
        <w:tc>
          <w:tcPr>
            <w:tcW w:w="433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26.16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714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054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其中：三公经费预算（万元）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843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合计</w:t>
            </w:r>
          </w:p>
        </w:tc>
        <w:tc>
          <w:tcPr>
            <w:tcW w:w="23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公务接待费</w:t>
            </w:r>
          </w:p>
        </w:tc>
        <w:tc>
          <w:tcPr>
            <w:tcW w:w="196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公务用车运行和购置费</w:t>
            </w:r>
          </w:p>
        </w:tc>
        <w:tc>
          <w:tcPr>
            <w:tcW w:w="237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因公出国（境）费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670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2.5</w:t>
            </w:r>
          </w:p>
        </w:tc>
        <w:tc>
          <w:tcPr>
            <w:tcW w:w="23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2.5</w:t>
            </w:r>
          </w:p>
        </w:tc>
        <w:tc>
          <w:tcPr>
            <w:tcW w:w="196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237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0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650" w:hRule="atLeast"/>
        </w:trPr>
        <w:tc>
          <w:tcPr>
            <w:tcW w:w="820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部门</w:t>
            </w:r>
          </w:p>
          <w:p>
            <w:pPr>
              <w:widowControl/>
              <w:spacing w:line="240" w:lineRule="exact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整体</w:t>
            </w:r>
          </w:p>
          <w:p>
            <w:pPr>
              <w:widowControl/>
              <w:spacing w:line="240" w:lineRule="exact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支出</w:t>
            </w:r>
          </w:p>
          <w:p>
            <w:pPr>
              <w:widowControl/>
              <w:spacing w:line="240" w:lineRule="exact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绩效</w:t>
            </w:r>
          </w:p>
          <w:p>
            <w:pPr>
              <w:widowControl/>
              <w:spacing w:line="240" w:lineRule="exac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目标</w:t>
            </w:r>
          </w:p>
        </w:tc>
        <w:tc>
          <w:tcPr>
            <w:tcW w:w="8054" w:type="dxa"/>
            <w:gridSpan w:val="11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top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在今年收支预算内，确保完成以下整体目标：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1、保障人员支出和单位正常运转；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2、严格按照财务规章制度做好各项支出；</w:t>
            </w: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3、加强财务监督，杜绝不合理开支。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650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054" w:type="dxa"/>
            <w:gridSpan w:val="11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650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054" w:type="dxa"/>
            <w:gridSpan w:val="11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650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054" w:type="dxa"/>
            <w:gridSpan w:val="11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240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054" w:type="dxa"/>
            <w:gridSpan w:val="11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部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门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整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体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支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出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年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度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绩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效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指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标</w:t>
            </w: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一级指标</w:t>
            </w:r>
          </w:p>
        </w:tc>
        <w:tc>
          <w:tcPr>
            <w:tcW w:w="146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二级指标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指标内容</w:t>
            </w:r>
          </w:p>
        </w:tc>
        <w:tc>
          <w:tcPr>
            <w:tcW w:w="137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指标值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产出指标</w:t>
            </w:r>
          </w:p>
        </w:tc>
        <w:tc>
          <w:tcPr>
            <w:tcW w:w="146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数量指标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对下属改制企业走访调查</w:t>
            </w:r>
          </w:p>
        </w:tc>
        <w:tc>
          <w:tcPr>
            <w:tcW w:w="13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3家</w:t>
            </w:r>
          </w:p>
        </w:tc>
        <w:tc>
          <w:tcPr>
            <w:tcW w:w="11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05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推动全县年回收秸杆</w:t>
            </w:r>
          </w:p>
        </w:tc>
        <w:tc>
          <w:tcPr>
            <w:tcW w:w="13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10000吨</w:t>
            </w:r>
          </w:p>
        </w:tc>
        <w:tc>
          <w:tcPr>
            <w:tcW w:w="11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质量指标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走访改制职工户数率</w:t>
            </w:r>
          </w:p>
        </w:tc>
        <w:tc>
          <w:tcPr>
            <w:tcW w:w="137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50%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全年回收秸杆</w:t>
            </w:r>
          </w:p>
        </w:tc>
        <w:tc>
          <w:tcPr>
            <w:tcW w:w="137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  <w:t>10000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吨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时效指标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财政预算资金及时到位</w:t>
            </w:r>
          </w:p>
        </w:tc>
        <w:tc>
          <w:tcPr>
            <w:tcW w:w="137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12个月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按时完成上述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工作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任务</w:t>
            </w:r>
          </w:p>
        </w:tc>
        <w:tc>
          <w:tcPr>
            <w:tcW w:w="137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全年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成本指标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一般性支出压减率</w:t>
            </w:r>
          </w:p>
        </w:tc>
        <w:tc>
          <w:tcPr>
            <w:tcW w:w="13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10%</w:t>
            </w:r>
          </w:p>
        </w:tc>
        <w:tc>
          <w:tcPr>
            <w:tcW w:w="11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信访维稳</w:t>
            </w:r>
          </w:p>
        </w:tc>
        <w:tc>
          <w:tcPr>
            <w:tcW w:w="137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  <w:t>不超过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1</w:t>
            </w:r>
            <w:r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  <w:t>0万元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秸杆回收利用</w:t>
            </w:r>
          </w:p>
        </w:tc>
        <w:tc>
          <w:tcPr>
            <w:tcW w:w="137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  <w:t>不超过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10</w:t>
            </w:r>
            <w:r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  <w:t>万元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效益指标</w:t>
            </w:r>
          </w:p>
        </w:tc>
        <w:tc>
          <w:tcPr>
            <w:tcW w:w="146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经济效益指标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利润增长率</w:t>
            </w:r>
          </w:p>
        </w:tc>
        <w:tc>
          <w:tcPr>
            <w:tcW w:w="137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100%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减少接劝访经费支出</w:t>
            </w:r>
          </w:p>
        </w:tc>
        <w:tc>
          <w:tcPr>
            <w:tcW w:w="137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50%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社会效益指标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秸杆回收利用</w:t>
            </w:r>
          </w:p>
        </w:tc>
        <w:tc>
          <w:tcPr>
            <w:tcW w:w="137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促进生态环境改善，增加农</w:t>
            </w:r>
            <w:bookmarkStart w:id="0" w:name="_GoBack"/>
            <w:bookmarkEnd w:id="0"/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民收入200万元以上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信访维稳</w:t>
            </w:r>
          </w:p>
        </w:tc>
        <w:tc>
          <w:tcPr>
            <w:tcW w:w="137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维护社会稳定，促进经济发展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生态效益指标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生态环境改善度</w:t>
            </w:r>
          </w:p>
        </w:tc>
        <w:tc>
          <w:tcPr>
            <w:tcW w:w="13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100%</w:t>
            </w:r>
          </w:p>
        </w:tc>
        <w:tc>
          <w:tcPr>
            <w:tcW w:w="11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0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环境污染事故发生率</w:t>
            </w:r>
          </w:p>
        </w:tc>
        <w:tc>
          <w:tcPr>
            <w:tcW w:w="137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53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可持续影响指标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  <w:t>打造运行高效的合作经济组织体系，为农业现代化建设更好地发挥作用</w:t>
            </w:r>
          </w:p>
        </w:tc>
        <w:tc>
          <w:tcPr>
            <w:tcW w:w="137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100%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876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社会公众或服务对象满意度指标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  <w:t>目标群体满意度</w:t>
            </w:r>
          </w:p>
        </w:tc>
        <w:tc>
          <w:tcPr>
            <w:tcW w:w="13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95%</w:t>
            </w:r>
          </w:p>
        </w:tc>
        <w:tc>
          <w:tcPr>
            <w:tcW w:w="11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1731" w:hRule="atLeast"/>
        </w:trPr>
        <w:tc>
          <w:tcPr>
            <w:tcW w:w="849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黑体" w:hAnsi="黑体" w:eastAsia="黑体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财政部门审核 意见</w:t>
            </w:r>
          </w:p>
        </w:tc>
        <w:tc>
          <w:tcPr>
            <w:tcW w:w="133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财政归口业务股室审核意见</w:t>
            </w:r>
          </w:p>
        </w:tc>
        <w:tc>
          <w:tcPr>
            <w:tcW w:w="669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审核意见：</w:t>
            </w: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审核人：      负责人签字：               年 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1677" w:hRule="atLeast"/>
        </w:trPr>
        <w:tc>
          <w:tcPr>
            <w:tcW w:w="849" w:type="dxa"/>
            <w:gridSpan w:val="2"/>
            <w:vMerge w:val="restart"/>
            <w:tcBorders>
              <w:top w:val="single" w:color="auto" w:sz="4" w:space="0"/>
              <w:left w:val="single" w:color="auto" w:sz="8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绩效评价股审核意见</w:t>
            </w:r>
          </w:p>
        </w:tc>
        <w:tc>
          <w:tcPr>
            <w:tcW w:w="669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审核意见：</w:t>
            </w: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审核人：      负责人签字：               年 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1701" w:hRule="atLeast"/>
        </w:trPr>
        <w:tc>
          <w:tcPr>
            <w:tcW w:w="849" w:type="dxa"/>
            <w:gridSpan w:val="2"/>
            <w:vMerge w:val="continue"/>
            <w:tcBorders>
              <w:left w:val="single" w:color="auto" w:sz="8" w:space="0"/>
              <w:bottom w:val="single" w:color="auto" w:sz="8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预算股审核意见</w:t>
            </w:r>
          </w:p>
        </w:tc>
        <w:tc>
          <w:tcPr>
            <w:tcW w:w="6692" w:type="dxa"/>
            <w:gridSpan w:val="9"/>
            <w:tcBorders>
              <w:top w:val="single" w:color="auto" w:sz="4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审核意见：</w:t>
            </w: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审核人：      负责人签字：               年   月  日</w:t>
            </w:r>
          </w:p>
        </w:tc>
      </w:tr>
    </w:tbl>
    <w:p>
      <w:pPr>
        <w:spacing w:line="480" w:lineRule="exact"/>
        <w:ind w:right="26"/>
        <w:rPr>
          <w:rFonts w:hint="eastAsia" w:ascii="黑体" w:hAnsi="黑体" w:eastAsia="黑体"/>
          <w:color w:val="000000"/>
          <w:sz w:val="28"/>
          <w:szCs w:val="28"/>
        </w:rPr>
      </w:pPr>
    </w:p>
    <w:p>
      <w:pPr>
        <w:widowControl/>
        <w:spacing w:line="240" w:lineRule="exact"/>
        <w:jc w:val="left"/>
        <w:rPr>
          <w:rFonts w:hint="eastAsia" w:ascii="仿宋_GB2312" w:hAnsi="宋体" w:eastAsia="仿宋_GB2312" w:cs="宋体"/>
          <w:kern w:val="0"/>
          <w:sz w:val="24"/>
          <w:lang w:eastAsia="zh-CN"/>
        </w:rPr>
      </w:pPr>
      <w:r>
        <w:rPr>
          <w:rFonts w:hint="eastAsia" w:ascii="仿宋_GB2312" w:hAnsi="宋体" w:eastAsia="仿宋_GB2312" w:cs="宋体"/>
          <w:kern w:val="0"/>
          <w:sz w:val="24"/>
        </w:rPr>
        <w:t>单位负责人：</w:t>
      </w:r>
      <w:r>
        <w:rPr>
          <w:rFonts w:hint="eastAsia" w:ascii="仿宋_GB2312" w:hAnsi="宋体" w:eastAsia="仿宋_GB2312" w:cs="宋体"/>
          <w:kern w:val="0"/>
          <w:sz w:val="24"/>
          <w:lang w:eastAsia="zh-CN"/>
        </w:rPr>
        <w:t>许伟成</w:t>
      </w:r>
      <w:r>
        <w:rPr>
          <w:rFonts w:hint="eastAsia" w:ascii="仿宋_GB2312" w:hAnsi="宋体" w:eastAsia="仿宋_GB2312" w:cs="宋体"/>
          <w:kern w:val="0"/>
          <w:sz w:val="24"/>
        </w:rPr>
        <w:t xml:space="preserve">                                 填报人：</w:t>
      </w:r>
      <w:r>
        <w:rPr>
          <w:rFonts w:hint="eastAsia" w:ascii="仿宋_GB2312" w:hAnsi="宋体" w:eastAsia="仿宋_GB2312" w:cs="宋体"/>
          <w:kern w:val="0"/>
          <w:sz w:val="24"/>
          <w:lang w:eastAsia="zh-CN"/>
        </w:rPr>
        <w:t>苏建军</w:t>
      </w:r>
    </w:p>
    <w:p>
      <w:pPr>
        <w:widowControl/>
        <w:spacing w:line="240" w:lineRule="exact"/>
        <w:jc w:val="right"/>
        <w:rPr>
          <w:rFonts w:ascii="仿宋_GB2312" w:hAnsi="宋体" w:eastAsia="仿宋_GB2312" w:cs="宋体"/>
          <w:kern w:val="0"/>
          <w:sz w:val="24"/>
        </w:rPr>
      </w:pPr>
    </w:p>
    <w:p>
      <w:pPr>
        <w:widowControl/>
        <w:wordWrap w:val="0"/>
        <w:spacing w:line="240" w:lineRule="exact"/>
        <w:jc w:val="right"/>
        <w:rPr>
          <w:rFonts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>填报日期：</w:t>
      </w:r>
      <w:r>
        <w:rPr>
          <w:rFonts w:hint="eastAsia" w:ascii="仿宋_GB2312" w:hAnsi="宋体" w:eastAsia="仿宋_GB2312" w:cs="宋体"/>
          <w:kern w:val="0"/>
          <w:sz w:val="24"/>
          <w:lang w:eastAsia="zh-CN"/>
        </w:rPr>
        <w:t>2023</w:t>
      </w:r>
      <w:r>
        <w:rPr>
          <w:rFonts w:hint="eastAsia" w:ascii="仿宋_GB2312" w:hAnsi="宋体" w:eastAsia="仿宋_GB2312" w:cs="宋体"/>
          <w:kern w:val="0"/>
          <w:sz w:val="24"/>
        </w:rPr>
        <w:t xml:space="preserve">年  </w:t>
      </w:r>
      <w:r>
        <w:rPr>
          <w:rFonts w:hint="eastAsia" w:ascii="仿宋_GB2312" w:hAnsi="宋体" w:eastAsia="仿宋_GB2312" w:cs="宋体"/>
          <w:kern w:val="0"/>
          <w:sz w:val="24"/>
          <w:lang w:val="en-US" w:eastAsia="zh-CN"/>
        </w:rPr>
        <w:t>1</w:t>
      </w:r>
      <w:r>
        <w:rPr>
          <w:rFonts w:hint="eastAsia" w:ascii="仿宋_GB2312" w:hAnsi="宋体" w:eastAsia="仿宋_GB2312" w:cs="宋体"/>
          <w:kern w:val="0"/>
          <w:sz w:val="24"/>
        </w:rPr>
        <w:t xml:space="preserve">月 </w:t>
      </w:r>
      <w:r>
        <w:rPr>
          <w:rFonts w:hint="eastAsia" w:ascii="仿宋_GB2312" w:hAnsi="宋体" w:eastAsia="仿宋_GB2312" w:cs="宋体"/>
          <w:kern w:val="0"/>
          <w:sz w:val="24"/>
          <w:lang w:val="en-US" w:eastAsia="zh-CN"/>
        </w:rPr>
        <w:t>15</w:t>
      </w:r>
      <w:r>
        <w:rPr>
          <w:rFonts w:hint="eastAsia" w:ascii="仿宋_GB2312" w:hAnsi="宋体" w:eastAsia="仿宋_GB2312" w:cs="宋体"/>
          <w:kern w:val="0"/>
          <w:sz w:val="24"/>
        </w:rPr>
        <w:t xml:space="preserve"> 日</w:t>
      </w:r>
    </w:p>
    <w:p>
      <w:pPr>
        <w:spacing w:line="480" w:lineRule="exact"/>
        <w:ind w:right="26"/>
        <w:rPr>
          <w:rFonts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>注：1、此表一式二份，经财政部门审核后，单位自存一份，绩效管理股一份。</w:t>
      </w:r>
    </w:p>
    <w:p>
      <w:pPr>
        <w:spacing w:line="480" w:lineRule="exact"/>
        <w:ind w:right="26" w:firstLine="480" w:firstLineChars="200"/>
        <w:rPr>
          <w:rFonts w:hint="eastAsia"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>2、本表上报时须附部门绩效目标制定依据。</w:t>
      </w:r>
    </w:p>
    <w:p>
      <w:pPr>
        <w:spacing w:line="480" w:lineRule="exact"/>
        <w:ind w:right="26"/>
        <w:rPr>
          <w:rFonts w:hint="eastAsia" w:ascii="黑体" w:hAnsi="黑体" w:eastAsia="黑体"/>
          <w:color w:val="000000"/>
          <w:sz w:val="28"/>
          <w:szCs w:val="28"/>
        </w:rPr>
      </w:pPr>
    </w:p>
    <w:p>
      <w:pPr>
        <w:spacing w:line="480" w:lineRule="exact"/>
        <w:ind w:right="26"/>
        <w:rPr>
          <w:rFonts w:hint="eastAsia" w:ascii="黑体" w:hAnsi="黑体" w:eastAsia="黑体"/>
          <w:color w:val="000000"/>
          <w:sz w:val="28"/>
          <w:szCs w:val="28"/>
        </w:rPr>
      </w:pPr>
    </w:p>
    <w:p>
      <w:pPr>
        <w:spacing w:line="480" w:lineRule="exact"/>
        <w:ind w:right="26"/>
        <w:rPr>
          <w:rFonts w:hint="eastAsia" w:ascii="黑体" w:hAnsi="黑体" w:eastAsia="黑体"/>
          <w:color w:val="000000"/>
          <w:sz w:val="28"/>
          <w:szCs w:val="28"/>
        </w:rPr>
      </w:pPr>
    </w:p>
    <w:p>
      <w:pPr>
        <w:spacing w:line="480" w:lineRule="exact"/>
        <w:ind w:right="26"/>
        <w:rPr>
          <w:rFonts w:hint="eastAsia" w:ascii="黑体" w:hAnsi="黑体" w:eastAsia="黑体"/>
          <w:color w:val="000000"/>
          <w:sz w:val="28"/>
          <w:szCs w:val="28"/>
        </w:rPr>
      </w:pPr>
    </w:p>
    <w:p>
      <w:pPr>
        <w:spacing w:line="480" w:lineRule="exact"/>
        <w:ind w:right="26"/>
        <w:rPr>
          <w:rFonts w:hint="eastAsia" w:ascii="黑体" w:hAnsi="黑体" w:eastAsia="黑体"/>
          <w:color w:val="000000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I0MjRkZGExZTBiMzJlNDM1YzM5NmQ0ZGJlNmU5NzgifQ=="/>
  </w:docVars>
  <w:rsids>
    <w:rsidRoot w:val="792D4731"/>
    <w:rsid w:val="0D424BC0"/>
    <w:rsid w:val="339B746E"/>
    <w:rsid w:val="57186EBF"/>
    <w:rsid w:val="5A854C2B"/>
    <w:rsid w:val="5E8F4736"/>
    <w:rsid w:val="72363C37"/>
    <w:rsid w:val="792D4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1I2"/>
    <w:basedOn w:val="3"/>
    <w:qFormat/>
    <w:uiPriority w:val="99"/>
    <w:pPr>
      <w:ind w:firstLine="420" w:firstLineChars="200"/>
    </w:pPr>
    <w:rPr>
      <w:b/>
      <w:bCs/>
      <w:kern w:val="44"/>
      <w:sz w:val="32"/>
      <w:szCs w:val="44"/>
    </w:rPr>
  </w:style>
  <w:style w:type="paragraph" w:customStyle="1" w:styleId="3">
    <w:name w:val="BodyTextIndent"/>
    <w:basedOn w:val="1"/>
    <w:qFormat/>
    <w:uiPriority w:val="99"/>
    <w:pPr>
      <w:spacing w:after="120"/>
      <w:ind w:left="420" w:leftChars="200"/>
      <w:textAlignment w:val="baseline"/>
    </w:pPr>
    <w:rPr>
      <w:kern w:val="0"/>
      <w:sz w:val="20"/>
    </w:rPr>
  </w:style>
  <w:style w:type="paragraph" w:customStyle="1" w:styleId="6">
    <w:name w:val="List Paragraph"/>
    <w:basedOn w:val="1"/>
    <w:qFormat/>
    <w:uiPriority w:val="0"/>
    <w:pPr>
      <w:spacing w:line="600" w:lineRule="exact"/>
      <w:ind w:firstLine="420" w:firstLineChars="200"/>
    </w:pPr>
    <w:rPr>
      <w:rFonts w:ascii="Times New Roman" w:hAnsi="Times New Roman" w:eastAsia="仿宋" w:cs="Calibri"/>
      <w:sz w:val="32"/>
    </w:rPr>
  </w:style>
  <w:style w:type="character" w:customStyle="1" w:styleId="7">
    <w:name w:val="font21"/>
    <w:basedOn w:val="5"/>
    <w:qFormat/>
    <w:uiPriority w:val="0"/>
    <w:rPr>
      <w:rFonts w:hint="default" w:ascii="仿宋_GB2312" w:eastAsia="仿宋_GB2312" w:cs="仿宋_GB2312"/>
      <w:color w:val="000000"/>
      <w:sz w:val="24"/>
      <w:szCs w:val="24"/>
      <w:u w:val="none"/>
    </w:rPr>
  </w:style>
  <w:style w:type="character" w:customStyle="1" w:styleId="8">
    <w:name w:val="font31"/>
    <w:basedOn w:val="5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1119</Words>
  <Characters>1202</Characters>
  <Lines>0</Lines>
  <Paragraphs>0</Paragraphs>
  <TotalTime>3</TotalTime>
  <ScaleCrop>false</ScaleCrop>
  <LinksUpToDate>false</LinksUpToDate>
  <CharactersWithSpaces>1330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2022-12-10T07:12:00Z</dcterms:created>
  <dc:creator>A维维佗 </dc:creator>
  <cp:lastModifiedBy>Administrator</cp:lastModifiedBy>
  <dcterms:modified xsi:type="dcterms:W3CDTF">2023-01-31T07:22:20Z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85BCEACB3FB546A6B7F5AAB1285A2498</vt:lpwstr>
  </property>
</Properties>
</file>