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44"/>
          <w:szCs w:val="44"/>
        </w:rPr>
      </w:pPr>
      <w:r>
        <w:rPr>
          <w:rFonts w:hint="eastAsia" w:ascii="宋体" w:hAnsi="宋体" w:eastAsia="宋体" w:cs="宋体"/>
          <w:b/>
          <w:bCs/>
          <w:sz w:val="44"/>
          <w:szCs w:val="44"/>
        </w:rPr>
        <w:t>湖南省财政厅关于提前下达2022年中央财政衔接推进乡村振兴补助资金的通知</w:t>
      </w:r>
    </w:p>
    <w:p>
      <w:pPr>
        <w:jc w:val="righ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湘财预</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2021</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257号</w:t>
      </w:r>
    </w:p>
    <w:p>
      <w:pPr>
        <w:ind w:firstLine="640" w:firstLineChars="200"/>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相关省直单位，各市州、省直管县市财政局：</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提高预算完整性，加快预算执行进度，提高财政资金使用效益，根据《财政部关于提前下达2022年中央财政衔接推进乡村振兴补助资金预算的通知》（财农〔2021〕101号)精神，经研究，现提前下达你市（州、县）2022年中央财政衔接推进乡村振兴补助资金万元（项目名称：中央财政衔接推进乡村振兴补助资金，项目代码：Z155110000004，详见附件)。列2022年政府收支分类收入科目“1100231贫困地区转移支付收入”，支出列入“21305扶贫”下相关项（政府预算支出经济分类科目“599其他支出”)。</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你单位认真贯彻落实党中央、国务院和省委、省政府关于巩固脱贫攻坚成果与实施乡村振兴战略有机衔接的有关精神，按照脱贫县统筹整合政策和资金管理相关制度要求，加强与乡村振兴等行业部门的沟通衔接，根据本地乡村振兴规划和年度计划任务尽快安排使用资金，加快预算执行进度。加强资金监管，落实全程绩效管理要求，切实管好用好资金，提高财政资金使用效益，确保资金安全。</w:t>
      </w:r>
    </w:p>
    <w:p>
      <w:pPr>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附件：提前下达2022年中央财政衔接推进乡村振兴补助资金分配表</w:t>
      </w:r>
    </w:p>
    <w:p>
      <w:pPr>
        <w:ind w:firstLine="640" w:firstLineChars="200"/>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p>
    <w:p>
      <w:pPr>
        <w:ind w:firstLine="640" w:firstLineChars="200"/>
        <w:jc w:val="righ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湖南省财政厅</w:t>
      </w:r>
    </w:p>
    <w:p>
      <w:pPr>
        <w:ind w:firstLine="640" w:firstLineChars="200"/>
        <w:jc w:val="righ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2021年12月8日</w:t>
      </w:r>
    </w:p>
    <w:p>
      <w:pPr>
        <w:ind w:firstLine="640" w:firstLineChars="200"/>
        <w:jc w:val="right"/>
        <w:rPr>
          <w:rFonts w:hint="eastAsia" w:ascii="方正仿宋_GB2312" w:hAnsi="方正仿宋_GB2312" w:eastAsia="方正仿宋_GB2312" w:cs="方正仿宋_GB2312"/>
          <w:sz w:val="32"/>
          <w:szCs w:val="32"/>
          <w:lang w:val="en-US" w:eastAsia="zh-CN"/>
        </w:rPr>
      </w:pPr>
      <w:bookmarkStart w:id="0" w:name="_GoBack"/>
      <w:bookmarkEnd w:id="0"/>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sectPr>
          <w:pgSz w:w="11906" w:h="16838"/>
          <w:pgMar w:top="1440" w:right="1800" w:bottom="1440" w:left="1800" w:header="851" w:footer="992" w:gutter="0"/>
          <w:cols w:space="425" w:num="1"/>
          <w:docGrid w:type="lines" w:linePitch="312" w:charSpace="0"/>
        </w:sectPr>
      </w:pPr>
    </w:p>
    <w:p>
      <w:pPr>
        <w:jc w:val="both"/>
        <w:rPr>
          <w:rFonts w:hint="eastAsia"/>
          <w:sz w:val="28"/>
          <w:szCs w:val="28"/>
          <w:lang w:val="en-US" w:eastAsia="zh-CN"/>
        </w:rPr>
      </w:pPr>
      <w:r>
        <w:rPr>
          <w:rFonts w:hint="eastAsia"/>
          <w:sz w:val="28"/>
          <w:szCs w:val="28"/>
          <w:lang w:val="en-US" w:eastAsia="zh-CN"/>
        </w:rPr>
        <w:t>附件：</w:t>
      </w:r>
    </w:p>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提前下达2022年中央财政衔接推进乡村振兴补助资金分配表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1935"/>
        <w:gridCol w:w="1680"/>
        <w:gridCol w:w="2181"/>
        <w:gridCol w:w="1419"/>
        <w:gridCol w:w="2125"/>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vMerge w:val="restart"/>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市州</w:t>
            </w:r>
          </w:p>
        </w:tc>
        <w:tc>
          <w:tcPr>
            <w:tcW w:w="1935" w:type="dxa"/>
            <w:vMerge w:val="restart"/>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县市区/单位</w:t>
            </w:r>
          </w:p>
        </w:tc>
        <w:tc>
          <w:tcPr>
            <w:tcW w:w="1680" w:type="dxa"/>
            <w:vMerge w:val="restart"/>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金额（万元）</w:t>
            </w:r>
          </w:p>
        </w:tc>
        <w:tc>
          <w:tcPr>
            <w:tcW w:w="3600" w:type="dxa"/>
            <w:gridSpan w:val="2"/>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巩固脱贫攻坚成果和乡村振兴</w:t>
            </w:r>
          </w:p>
        </w:tc>
        <w:tc>
          <w:tcPr>
            <w:tcW w:w="3897" w:type="dxa"/>
            <w:gridSpan w:val="2"/>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欠发达国有林场巩固提升</w:t>
            </w:r>
          </w:p>
        </w:tc>
        <w:tc>
          <w:tcPr>
            <w:tcW w:w="1772" w:type="dxa"/>
            <w:vMerge w:val="restart"/>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vMerge w:val="continue"/>
          </w:tcPr>
          <w:p>
            <w:pPr>
              <w:jc w:val="center"/>
              <w:rPr>
                <w:rFonts w:hint="default" w:ascii="宋体" w:hAnsi="宋体" w:eastAsia="宋体" w:cs="宋体"/>
                <w:sz w:val="24"/>
                <w:szCs w:val="24"/>
                <w:lang w:val="en-US" w:eastAsia="zh-CN"/>
              </w:rPr>
            </w:pPr>
          </w:p>
        </w:tc>
        <w:tc>
          <w:tcPr>
            <w:tcW w:w="1935" w:type="dxa"/>
            <w:vMerge w:val="continue"/>
          </w:tcPr>
          <w:p>
            <w:pPr>
              <w:jc w:val="center"/>
              <w:rPr>
                <w:rFonts w:hint="default" w:ascii="宋体" w:hAnsi="宋体" w:eastAsia="宋体" w:cs="宋体"/>
                <w:sz w:val="24"/>
                <w:szCs w:val="24"/>
                <w:lang w:val="en-US" w:eastAsia="zh-CN"/>
              </w:rPr>
            </w:pPr>
          </w:p>
        </w:tc>
        <w:tc>
          <w:tcPr>
            <w:tcW w:w="1680" w:type="dxa"/>
            <w:vMerge w:val="continue"/>
          </w:tcPr>
          <w:p>
            <w:pPr>
              <w:jc w:val="center"/>
              <w:rPr>
                <w:rFonts w:hint="default" w:ascii="宋体" w:hAnsi="宋体" w:eastAsia="宋体" w:cs="宋体"/>
                <w:sz w:val="24"/>
                <w:szCs w:val="24"/>
                <w:lang w:val="en-US" w:eastAsia="zh-CN"/>
              </w:rPr>
            </w:pPr>
          </w:p>
        </w:tc>
        <w:tc>
          <w:tcPr>
            <w:tcW w:w="2181" w:type="dxa"/>
          </w:tcPr>
          <w:p>
            <w:pPr>
              <w:jc w:val="center"/>
              <w:rPr>
                <w:rFonts w:hint="default" w:ascii="宋体" w:hAnsi="宋体" w:eastAsia="宋体" w:cs="宋体"/>
                <w:sz w:val="24"/>
                <w:szCs w:val="24"/>
                <w:lang w:val="en-US" w:eastAsia="zh-CN"/>
              </w:rPr>
            </w:pPr>
          </w:p>
        </w:tc>
        <w:tc>
          <w:tcPr>
            <w:tcW w:w="1419" w:type="dxa"/>
          </w:tcPr>
          <w:p>
            <w:pPr>
              <w:jc w:val="center"/>
              <w:rPr>
                <w:rFonts w:hint="default" w:ascii="宋体" w:hAnsi="宋体" w:eastAsia="宋体" w:cs="宋体"/>
                <w:sz w:val="24"/>
                <w:szCs w:val="24"/>
                <w:lang w:val="en-US" w:eastAsia="zh-CN"/>
              </w:rPr>
            </w:pPr>
          </w:p>
        </w:tc>
        <w:tc>
          <w:tcPr>
            <w:tcW w:w="2125" w:type="dxa"/>
          </w:tcPr>
          <w:p>
            <w:pPr>
              <w:jc w:val="center"/>
              <w:rPr>
                <w:rFonts w:hint="default" w:ascii="宋体" w:hAnsi="宋体" w:eastAsia="宋体" w:cs="宋体"/>
                <w:sz w:val="24"/>
                <w:szCs w:val="24"/>
                <w:lang w:val="en-US" w:eastAsia="zh-CN"/>
              </w:rPr>
            </w:pPr>
          </w:p>
        </w:tc>
        <w:tc>
          <w:tcPr>
            <w:tcW w:w="1772" w:type="dxa"/>
          </w:tcPr>
          <w:p>
            <w:pPr>
              <w:jc w:val="center"/>
              <w:rPr>
                <w:rFonts w:hint="default" w:ascii="宋体" w:hAnsi="宋体" w:eastAsia="宋体" w:cs="宋体"/>
                <w:sz w:val="24"/>
                <w:szCs w:val="24"/>
                <w:lang w:val="en-US" w:eastAsia="zh-CN"/>
              </w:rPr>
            </w:pPr>
          </w:p>
        </w:tc>
        <w:tc>
          <w:tcPr>
            <w:tcW w:w="1772" w:type="dxa"/>
            <w:vMerge w:val="continue"/>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湘潭市</w:t>
            </w:r>
          </w:p>
        </w:tc>
        <w:tc>
          <w:tcPr>
            <w:tcW w:w="1935"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湘潭县</w:t>
            </w:r>
          </w:p>
        </w:tc>
        <w:tc>
          <w:tcPr>
            <w:tcW w:w="1680"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1270</w:t>
            </w:r>
          </w:p>
        </w:tc>
        <w:tc>
          <w:tcPr>
            <w:tcW w:w="2181"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1230</w:t>
            </w:r>
          </w:p>
        </w:tc>
        <w:tc>
          <w:tcPr>
            <w:tcW w:w="1419" w:type="dxa"/>
          </w:tcPr>
          <w:p>
            <w:pPr>
              <w:jc w:val="center"/>
              <w:rPr>
                <w:rFonts w:hint="default" w:ascii="宋体" w:hAnsi="宋体" w:eastAsia="宋体" w:cs="宋体"/>
                <w:sz w:val="24"/>
                <w:szCs w:val="24"/>
                <w:lang w:val="en-US" w:eastAsia="zh-CN"/>
              </w:rPr>
            </w:pPr>
          </w:p>
        </w:tc>
        <w:tc>
          <w:tcPr>
            <w:tcW w:w="2125"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40</w:t>
            </w:r>
          </w:p>
        </w:tc>
        <w:tc>
          <w:tcPr>
            <w:tcW w:w="1772"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乌石国有林场</w:t>
            </w:r>
          </w:p>
        </w:tc>
        <w:tc>
          <w:tcPr>
            <w:tcW w:w="1772" w:type="dxa"/>
          </w:tcPr>
          <w:p>
            <w:pPr>
              <w:jc w:val="center"/>
              <w:rPr>
                <w:rFonts w:hint="default" w:ascii="宋体" w:hAnsi="宋体" w:eastAsia="宋体" w:cs="宋体"/>
                <w:sz w:val="24"/>
                <w:szCs w:val="24"/>
                <w:lang w:val="en-US" w:eastAsia="zh-CN"/>
              </w:rPr>
            </w:pPr>
          </w:p>
        </w:tc>
      </w:tr>
    </w:tbl>
    <w:p>
      <w:pPr>
        <w:jc w:val="center"/>
        <w:rPr>
          <w:rFonts w:hint="default" w:ascii="方正仿宋_GB2312" w:hAnsi="方正仿宋_GB2312" w:eastAsia="方正仿宋_GB2312" w:cs="方正仿宋_GB2312"/>
          <w:sz w:val="32"/>
          <w:szCs w:val="32"/>
          <w:lang w:val="en-US"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301003                                                                 文号：潭财农单（2022）0025号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湘潭县乡村振兴事务中心                  制单日期：2022-01-06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其他巩固脱贫衔接乡村振兴支出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12300000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eastAsia="zh-CN"/>
              </w:rPr>
              <w:t>湘财预（</w:t>
            </w:r>
            <w:r>
              <w:rPr>
                <w:rFonts w:hint="eastAsia" w:ascii="宋体" w:hAnsi="宋体" w:eastAsia="宋体" w:cs="宋体"/>
                <w:sz w:val="24"/>
                <w:szCs w:val="24"/>
                <w:lang w:val="en-US" w:eastAsia="zh-CN"/>
              </w:rPr>
              <w:t>2021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257号关于提前下达2022年中央财政衔接推进乡村振兴补助资金的通知：巩固脱贫攻坚成果和乡村振兴</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12300000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壹仟贰佰叁拾万元整</w:t>
            </w:r>
          </w:p>
        </w:tc>
      </w:tr>
    </w:tbl>
    <w:p>
      <w:pPr>
        <w:jc w:val="both"/>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财政局长：                         预算股长：                    财务股长：                    经办人</w:t>
      </w:r>
    </w:p>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301001                                                                 文号：潭财农单（2022）0025号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湘潭县林业局                                   制单日期：2022-01-06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其他巩固脱贫衔接乡村振兴支出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eastAsia="zh-CN"/>
              </w:rPr>
              <w:t>湘财预（</w:t>
            </w:r>
            <w:r>
              <w:rPr>
                <w:rFonts w:hint="eastAsia" w:ascii="宋体" w:hAnsi="宋体" w:eastAsia="宋体" w:cs="宋体"/>
                <w:sz w:val="24"/>
                <w:szCs w:val="24"/>
                <w:lang w:val="en-US" w:eastAsia="zh-CN"/>
              </w:rPr>
              <w:t>2021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257号关于提前下达2022年中央财政衔接推进乡村振兴补助资金的通知：欠发达国有林场巩固提升（乌石国有林场）</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肆拾万元整</w:t>
            </w:r>
          </w:p>
        </w:tc>
      </w:tr>
    </w:tbl>
    <w:p>
      <w:pPr>
        <w:jc w:val="both"/>
        <w:rPr>
          <w:rFonts w:hint="eastAsia" w:ascii="宋体" w:hAnsi="宋体" w:eastAsia="宋体" w:cs="宋体"/>
          <w:sz w:val="24"/>
          <w:szCs w:val="24"/>
          <w:vertAlign w:val="baseline"/>
          <w:lang w:val="en-US" w:eastAsia="zh-CN"/>
        </w:rPr>
      </w:pPr>
    </w:p>
    <w:p>
      <w:pPr>
        <w:jc w:val="center"/>
        <w:rPr>
          <w:rFonts w:hint="default" w:ascii="方正仿宋_GB2312" w:hAnsi="方正仿宋_GB2312" w:eastAsia="方正仿宋_GB2312" w:cs="方正仿宋_GB2312"/>
          <w:sz w:val="32"/>
          <w:szCs w:val="32"/>
          <w:lang w:val="en-US" w:eastAsia="zh-CN"/>
        </w:rPr>
      </w:pPr>
      <w:r>
        <w:rPr>
          <w:rFonts w:hint="eastAsia" w:ascii="宋体" w:hAnsi="宋体" w:eastAsia="宋体" w:cs="宋体"/>
          <w:sz w:val="24"/>
          <w:szCs w:val="24"/>
          <w:vertAlign w:val="baseline"/>
          <w:lang w:val="en-US" w:eastAsia="zh-CN"/>
        </w:rPr>
        <w:t>财政局长：                         预算股长：                    财务股长：                    经办人</w:t>
      </w:r>
    </w:p>
    <w:p>
      <w:pPr>
        <w:jc w:val="center"/>
        <w:rPr>
          <w:rFonts w:hint="default" w:ascii="宋体" w:hAnsi="宋体" w:eastAsia="宋体" w:cs="宋体"/>
          <w:sz w:val="24"/>
          <w:szCs w:val="24"/>
          <w:vertAlign w:val="baseline"/>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zZTBmOGEyZmZjYmMyM2MwYTlhZDI0ODc5NzM2NjkifQ=="/>
  </w:docVars>
  <w:rsids>
    <w:rsidRoot w:val="089B690A"/>
    <w:rsid w:val="089B690A"/>
    <w:rsid w:val="2D2C3D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985</Words>
  <Characters>1161</Characters>
  <Lines>0</Lines>
  <Paragraphs>0</Paragraphs>
  <TotalTime>2</TotalTime>
  <ScaleCrop>false</ScaleCrop>
  <LinksUpToDate>false</LinksUpToDate>
  <CharactersWithSpaces>1525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2022-06-28T23:25:00Z</dcterms:created>
  <dc:creator>懒得耻你</dc:creator>
  <cp:lastModifiedBy>懒得耻你</cp:lastModifiedBy>
  <cp:lastPrinted>2022-06-29T00:46:49Z</cp:lastPrinted>
  <dcterms:modified xsi:type="dcterms:W3CDTF">2022-06-29T00:47:10Z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8C28119CA4F043DEB4DFD5FE02BE4F50</vt:lpwstr>
  </property>
</Properties>
</file>