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color w:val="000000"/>
          <w:kern w:val="0"/>
          <w:sz w:val="44"/>
          <w:szCs w:val="44"/>
        </w:rPr>
        <w:t>机关事业单位离休干部养老金</w:t>
      </w:r>
      <w:r>
        <w:rPr>
          <w:rFonts w:hint="eastAsia" w:ascii="方正小标宋简体" w:hAnsi="方正小标宋简体" w:eastAsia="方正小标宋简体" w:cs="方正小标宋简体"/>
          <w:b w:val="0"/>
          <w:bCs w:val="0"/>
          <w:sz w:val="44"/>
          <w:szCs w:val="44"/>
        </w:rPr>
        <w:t>项目支出</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rPr>
      </w:pPr>
      <w:bookmarkStart w:id="0" w:name="_GoBack"/>
      <w:bookmarkEnd w:id="0"/>
      <w:r>
        <w:rPr>
          <w:rFonts w:hint="eastAsia" w:ascii="方正小标宋简体" w:hAnsi="方正小标宋简体" w:eastAsia="方正小标宋简体" w:cs="方正小标宋简体"/>
          <w:b w:val="0"/>
          <w:bCs w:val="0"/>
          <w:sz w:val="44"/>
          <w:szCs w:val="44"/>
        </w:rPr>
        <w:t>绩效评价报告</w:t>
      </w:r>
    </w:p>
    <w:p>
      <w:pPr>
        <w:spacing w:line="576" w:lineRule="exact"/>
        <w:jc w:val="center"/>
        <w:rPr>
          <w:rFonts w:ascii="宋体" w:hAnsi="宋体" w:cs="方正小标宋简体"/>
          <w:bCs/>
          <w:sz w:val="28"/>
          <w:szCs w:val="28"/>
        </w:rPr>
      </w:pPr>
      <w:r>
        <w:rPr>
          <w:rFonts w:hint="eastAsia" w:ascii="宋体" w:hAnsi="宋体" w:cs="方正小标宋简体"/>
          <w:bCs/>
          <w:sz w:val="28"/>
          <w:szCs w:val="28"/>
        </w:rPr>
        <w:t>（2021年度）</w:t>
      </w:r>
    </w:p>
    <w:tbl>
      <w:tblPr>
        <w:tblStyle w:val="5"/>
        <w:tblpPr w:leftFromText="180" w:rightFromText="180" w:vertAnchor="text" w:horzAnchor="margin" w:tblpXSpec="center" w:tblpY="189"/>
        <w:tblW w:w="93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2168"/>
        <w:gridCol w:w="57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restart"/>
            <w:noWrap/>
            <w:vAlign w:val="center"/>
          </w:tcPr>
          <w:p>
            <w:pP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部门概况</w:t>
            </w:r>
          </w:p>
        </w:tc>
        <w:tc>
          <w:tcPr>
            <w:tcW w:w="2168" w:type="dxa"/>
            <w:noWrap/>
            <w:vAlign w:val="center"/>
          </w:tcPr>
          <w:p>
            <w:pP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专项名称</w:t>
            </w:r>
          </w:p>
        </w:tc>
        <w:tc>
          <w:tcPr>
            <w:tcW w:w="5770" w:type="dxa"/>
            <w:noWrap/>
            <w:vAlign w:val="center"/>
          </w:tcPr>
          <w:p>
            <w:pP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机关事业单位离休干部养老金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noWrap/>
          </w:tcPr>
          <w:p>
            <w:pPr>
              <w:rPr>
                <w:rFonts w:hint="default" w:ascii="仿宋_GB2312" w:hAnsi="宋体" w:eastAsia="仿宋_GB2312" w:cs="仿宋_GB2312"/>
                <w:i w:val="0"/>
                <w:color w:val="000000"/>
                <w:kern w:val="0"/>
                <w:sz w:val="21"/>
                <w:szCs w:val="21"/>
                <w:u w:val="none"/>
                <w:lang w:val="en-US" w:eastAsia="zh-CN" w:bidi="ar"/>
              </w:rPr>
            </w:pPr>
          </w:p>
        </w:tc>
        <w:tc>
          <w:tcPr>
            <w:tcW w:w="2168" w:type="dxa"/>
            <w:noWrap/>
            <w:vAlign w:val="center"/>
          </w:tcPr>
          <w:p>
            <w:pP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年度预算金额</w:t>
            </w:r>
          </w:p>
        </w:tc>
        <w:tc>
          <w:tcPr>
            <w:tcW w:w="5770" w:type="dxa"/>
            <w:noWrap/>
            <w:vAlign w:val="center"/>
          </w:tcPr>
          <w:p>
            <w:pPr>
              <w:ind w:firstLine="420" w:firstLineChars="200"/>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198万元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noWrap/>
          </w:tcPr>
          <w:p>
            <w:pPr>
              <w:rPr>
                <w:rFonts w:hint="default" w:ascii="仿宋_GB2312" w:hAnsi="宋体" w:eastAsia="仿宋_GB2312" w:cs="仿宋_GB2312"/>
                <w:i w:val="0"/>
                <w:color w:val="000000"/>
                <w:kern w:val="0"/>
                <w:sz w:val="21"/>
                <w:szCs w:val="21"/>
                <w:u w:val="none"/>
                <w:lang w:val="en-US" w:eastAsia="zh-CN" w:bidi="ar"/>
              </w:rPr>
            </w:pPr>
          </w:p>
        </w:tc>
        <w:tc>
          <w:tcPr>
            <w:tcW w:w="2168" w:type="dxa"/>
            <w:noWrap/>
            <w:vAlign w:val="center"/>
          </w:tcPr>
          <w:p>
            <w:pP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项目主管部门</w:t>
            </w:r>
          </w:p>
        </w:tc>
        <w:tc>
          <w:tcPr>
            <w:tcW w:w="5770" w:type="dxa"/>
            <w:noWrap/>
            <w:vAlign w:val="center"/>
          </w:tcPr>
          <w:p>
            <w:pP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湘潭县人力资源和社会保障局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0" w:hRule="atLeast"/>
          <w:jc w:val="center"/>
        </w:trPr>
        <w:tc>
          <w:tcPr>
            <w:tcW w:w="1384" w:type="dxa"/>
            <w:vMerge w:val="continue"/>
            <w:noWrap/>
          </w:tcPr>
          <w:p>
            <w:pPr>
              <w:rPr>
                <w:rFonts w:hint="default" w:ascii="仿宋_GB2312" w:hAnsi="宋体" w:eastAsia="仿宋_GB2312" w:cs="仿宋_GB2312"/>
                <w:i w:val="0"/>
                <w:color w:val="000000"/>
                <w:kern w:val="0"/>
                <w:sz w:val="21"/>
                <w:szCs w:val="21"/>
                <w:u w:val="none"/>
                <w:lang w:val="en-US" w:eastAsia="zh-CN" w:bidi="ar"/>
              </w:rPr>
            </w:pPr>
          </w:p>
        </w:tc>
        <w:tc>
          <w:tcPr>
            <w:tcW w:w="2168" w:type="dxa"/>
            <w:noWrap/>
            <w:vAlign w:val="center"/>
          </w:tcPr>
          <w:p>
            <w:pP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项目立项目的</w:t>
            </w:r>
          </w:p>
        </w:tc>
        <w:tc>
          <w:tcPr>
            <w:tcW w:w="5770" w:type="dxa"/>
            <w:noWrap/>
            <w:vAlign w:val="center"/>
          </w:tcPr>
          <w:p>
            <w:pP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补足对全县退休干部养老金资金缺口，保障全县退休干部养老金发放。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5" w:hRule="atLeast"/>
          <w:jc w:val="center"/>
        </w:trPr>
        <w:tc>
          <w:tcPr>
            <w:tcW w:w="1384" w:type="dxa"/>
            <w:vMerge w:val="restart"/>
            <w:noWrap/>
            <w:vAlign w:val="center"/>
          </w:tcPr>
          <w:p>
            <w:pP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绩效情况</w:t>
            </w:r>
          </w:p>
        </w:tc>
        <w:tc>
          <w:tcPr>
            <w:tcW w:w="2168" w:type="dxa"/>
            <w:noWrap/>
            <w:vAlign w:val="center"/>
          </w:tcPr>
          <w:p>
            <w:pP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项目支出管理和使用基本情况</w:t>
            </w:r>
          </w:p>
        </w:tc>
        <w:tc>
          <w:tcPr>
            <w:tcW w:w="5770" w:type="dxa"/>
            <w:noWrap/>
            <w:vAlign w:val="center"/>
          </w:tcPr>
          <w:p>
            <w:pPr>
              <w:rPr>
                <w:rFonts w:hint="eastAsia" w:ascii="仿宋_GB2312" w:hAnsi="宋体" w:eastAsia="仿宋_GB2312" w:cs="仿宋_GB2312"/>
                <w:i w:val="0"/>
                <w:color w:val="000000"/>
                <w:kern w:val="0"/>
                <w:sz w:val="21"/>
                <w:szCs w:val="21"/>
                <w:u w:val="none"/>
                <w:lang w:val="en-US" w:eastAsia="zh-CN" w:bidi="ar"/>
              </w:rPr>
            </w:pPr>
          </w:p>
          <w:p>
            <w:pP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根据湘组通字[2011]29号文件《关于提高离休干部生活补贴标准和扩大发放范围的通知》、湘政发[2015]38号文件《湖南省人民政府关于机关事业单位工作人员养老保险制度改革的实施意见》、湘组[2019]54号文件 《关于调整建国初期参加革命工作的部分退休干部生活补贴和医疗补贴标准的通知》，需安排27位离休干部离休人员养老金189万元；建国初期部分退休干部9人生活补贴9万元。上述两项共计198万元需县级财政安排，然后由我局机关事业单位养老保险中心通过养老金发放系统发放。2021年实际支出183.9万元。</w:t>
            </w:r>
          </w:p>
          <w:p>
            <w:pPr>
              <w:rPr>
                <w:rFonts w:hint="default" w:ascii="仿宋_GB2312" w:hAnsi="宋体" w:eastAsia="仿宋_GB2312" w:cs="仿宋_GB2312"/>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384" w:type="dxa"/>
            <w:vMerge w:val="continue"/>
            <w:noWrap/>
          </w:tcPr>
          <w:p>
            <w:pPr>
              <w:rPr>
                <w:rFonts w:hint="default" w:ascii="仿宋_GB2312" w:hAnsi="宋体" w:eastAsia="仿宋_GB2312" w:cs="仿宋_GB2312"/>
                <w:i w:val="0"/>
                <w:color w:val="000000"/>
                <w:kern w:val="0"/>
                <w:sz w:val="21"/>
                <w:szCs w:val="21"/>
                <w:u w:val="none"/>
                <w:lang w:val="en-US" w:eastAsia="zh-CN" w:bidi="ar"/>
              </w:rPr>
            </w:pPr>
          </w:p>
        </w:tc>
        <w:tc>
          <w:tcPr>
            <w:tcW w:w="2168" w:type="dxa"/>
            <w:noWrap/>
            <w:vAlign w:val="center"/>
          </w:tcPr>
          <w:p>
            <w:pP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项目绩效目标完成情况</w:t>
            </w:r>
          </w:p>
        </w:tc>
        <w:tc>
          <w:tcPr>
            <w:tcW w:w="5770" w:type="dxa"/>
            <w:noWrap/>
            <w:vAlign w:val="center"/>
          </w:tcPr>
          <w:p>
            <w:pP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该项目申请预算198万元，实际支出183.9</w:t>
            </w:r>
            <w:r>
              <w:rPr>
                <w:rFonts w:hint="eastAsia" w:ascii="仿宋_GB2312" w:hAnsi="宋体" w:eastAsia="仿宋_GB2312" w:cs="仿宋_GB2312"/>
                <w:i w:val="0"/>
                <w:color w:val="000000"/>
                <w:kern w:val="0"/>
                <w:sz w:val="21"/>
                <w:szCs w:val="21"/>
                <w:u w:val="none"/>
                <w:lang w:val="en-US" w:eastAsia="zh-CN" w:bidi="ar"/>
              </w:rPr>
              <w:t>万元，资金完成率93%。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2" w:hRule="atLeast"/>
          <w:jc w:val="center"/>
        </w:trPr>
        <w:tc>
          <w:tcPr>
            <w:tcW w:w="1384" w:type="dxa"/>
            <w:vMerge w:val="restart"/>
            <w:noWrap/>
            <w:vAlign w:val="center"/>
          </w:tcPr>
          <w:p>
            <w:pP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存在的问题分析及改进措施</w:t>
            </w:r>
          </w:p>
        </w:tc>
        <w:tc>
          <w:tcPr>
            <w:tcW w:w="2168" w:type="dxa"/>
            <w:noWrap/>
            <w:vAlign w:val="center"/>
          </w:tcPr>
          <w:p>
            <w:pP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存在的问题</w:t>
            </w:r>
          </w:p>
        </w:tc>
        <w:tc>
          <w:tcPr>
            <w:tcW w:w="5770" w:type="dxa"/>
            <w:noWrap/>
            <w:vAlign w:val="center"/>
          </w:tcPr>
          <w:p>
            <w:pP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1384" w:type="dxa"/>
            <w:vMerge w:val="continue"/>
            <w:noWrap/>
          </w:tcPr>
          <w:p>
            <w:pPr>
              <w:rPr>
                <w:rFonts w:hint="default" w:ascii="仿宋_GB2312" w:hAnsi="宋体" w:eastAsia="仿宋_GB2312" w:cs="仿宋_GB2312"/>
                <w:i w:val="0"/>
                <w:color w:val="000000"/>
                <w:kern w:val="0"/>
                <w:sz w:val="21"/>
                <w:szCs w:val="21"/>
                <w:u w:val="none"/>
                <w:lang w:val="en-US" w:eastAsia="zh-CN" w:bidi="ar"/>
              </w:rPr>
            </w:pPr>
          </w:p>
        </w:tc>
        <w:tc>
          <w:tcPr>
            <w:tcW w:w="2168" w:type="dxa"/>
            <w:noWrap/>
            <w:vAlign w:val="center"/>
          </w:tcPr>
          <w:p>
            <w:pP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改进措施</w:t>
            </w:r>
          </w:p>
        </w:tc>
        <w:tc>
          <w:tcPr>
            <w:tcW w:w="5770" w:type="dxa"/>
            <w:noWrap/>
            <w:vAlign w:val="center"/>
          </w:tcPr>
          <w:p>
            <w:pP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继续加强对机关事业单位社会养老保险待遇领取人员的管理，确保基金安全。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0" w:hRule="atLeast"/>
          <w:jc w:val="center"/>
        </w:trPr>
        <w:tc>
          <w:tcPr>
            <w:tcW w:w="1384" w:type="dxa"/>
            <w:vMerge w:val="continue"/>
            <w:noWrap/>
          </w:tcPr>
          <w:p>
            <w:pPr>
              <w:rPr>
                <w:rFonts w:hint="default" w:ascii="仿宋_GB2312" w:hAnsi="宋体" w:eastAsia="仿宋_GB2312" w:cs="仿宋_GB2312"/>
                <w:i w:val="0"/>
                <w:color w:val="000000"/>
                <w:kern w:val="0"/>
                <w:sz w:val="21"/>
                <w:szCs w:val="21"/>
                <w:u w:val="none"/>
                <w:lang w:val="en-US" w:eastAsia="zh-CN" w:bidi="ar"/>
              </w:rPr>
            </w:pPr>
          </w:p>
        </w:tc>
        <w:tc>
          <w:tcPr>
            <w:tcW w:w="2168" w:type="dxa"/>
            <w:noWrap/>
            <w:vAlign w:val="center"/>
          </w:tcPr>
          <w:p>
            <w:pP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其他需要说明问题</w:t>
            </w:r>
          </w:p>
        </w:tc>
        <w:tc>
          <w:tcPr>
            <w:tcW w:w="5770" w:type="dxa"/>
            <w:noWrap/>
            <w:vAlign w:val="center"/>
          </w:tcPr>
          <w:p>
            <w:pP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无</w:t>
            </w:r>
          </w:p>
        </w:tc>
      </w:tr>
    </w:tbl>
    <w:p>
      <w:pPr>
        <w:rPr>
          <w:rFonts w:hint="default" w:ascii="仿宋_GB2312" w:hAnsi="宋体" w:eastAsia="仿宋_GB2312" w:cs="仿宋_GB2312"/>
          <w:i w:val="0"/>
          <w:color w:val="000000"/>
          <w:kern w:val="0"/>
          <w:sz w:val="21"/>
          <w:szCs w:val="21"/>
          <w:u w:val="none"/>
          <w:lang w:val="en-US" w:eastAsia="zh-CN" w:bidi="ar"/>
        </w:rPr>
      </w:pPr>
    </w:p>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_GBK">
    <w:altName w:val="Arial Unicode MS"/>
    <w:panose1 w:val="03000509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Tahoma">
    <w:panose1 w:val="020B0604030504040204"/>
    <w:charset w:val="00"/>
    <w:family w:val="swiss"/>
    <w:pitch w:val="default"/>
    <w:sig w:usb0="E1002EFF" w:usb1="C000605B" w:usb2="00000029" w:usb3="00000000" w:csb0="200101FF" w:csb1="2028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445135" cy="230505"/>
              <wp:effectExtent l="0" t="0" r="0" b="0"/>
              <wp:wrapNone/>
              <wp:docPr id="1" name="文本框 1"/>
              <wp:cNvGraphicFramePr/>
              <a:graphic xmlns:a="http://schemas.openxmlformats.org/drawingml/2006/main">
                <a:graphicData uri="http://schemas.microsoft.com/office/word/2010/wordprocessingShape">
                  <wps:wsp>
                    <wps:cNvSpPr txBox="1"/>
                    <wps:spPr>
                      <a:xfrm>
                        <a:off x="0" y="0"/>
                        <a:ext cx="445135" cy="230505"/>
                      </a:xfrm>
                      <a:prstGeom prst="rect">
                        <a:avLst/>
                      </a:prstGeom>
                      <a:noFill/>
                      <a:ln>
                        <a:noFill/>
                      </a:ln>
                      <a:effectLst/>
                    </wps:spPr>
                    <wps:txbx>
                      <w:txbxContent>
                        <w:p>
                          <w:pPr>
                            <w:pStyle w:val="2"/>
                            <w:rPr>
                              <w:rFonts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39</w:t>
                          </w:r>
                          <w:r>
                            <w:rPr>
                              <w:rFonts w:hint="eastAsia" w:ascii="宋体" w:hAnsi="宋体" w:cs="宋体"/>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8.15pt;width:35.05pt;mso-position-horizontal:outside;mso-position-horizontal-relative:margin;mso-wrap-style:none;z-index:251659264;mso-width-relative:page;mso-height-relative:page;" filled="f" stroked="f" coordsize="21600,21600" o:gfxdata="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&#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JvOISfRAAAAAwEAAA8AAAAAAAAAAQAgAAAAIgAAAGRy&#10;cy9kb3ducmV2LnhtbFBLAQIUABQAAAAIAIdO4kB6Eqv+0wEAAKUDAAAOAAAAAAAAAAEAIAAAACAB&#10;AABkcnMvZTJvRG9jLnhtbFBLBQYAAAAABgAGAFkBAABlBQAAAAA=&#10;">
              <v:fill on="f" focussize="0,0"/>
              <v:stroke on="f"/>
              <v:imagedata o:title=""/>
              <o:lock v:ext="edit" aspectratio="f"/>
              <v:textbox inset="0mm,0mm,0mm,0mm" style="mso-fit-shape-to-text:t;">
                <w:txbxContent>
                  <w:p>
                    <w:pPr>
                      <w:pStyle w:val="2"/>
                      <w:rPr>
                        <w:rFonts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39</w:t>
                    </w:r>
                    <w:r>
                      <w:rPr>
                        <w:rFonts w:hint="eastAsia" w:ascii="宋体" w:hAnsi="宋体" w:cs="宋体"/>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M0OTMyMjJlNTBhYzFjNzNhOTc1MjJmYTQ4MGM4MjgifQ=="/>
  </w:docVars>
  <w:rsids>
    <w:rsidRoot w:val="00B363D5"/>
    <w:rsid w:val="00725C68"/>
    <w:rsid w:val="00953FFF"/>
    <w:rsid w:val="00A25298"/>
    <w:rsid w:val="00B363D5"/>
    <w:rsid w:val="00BD4B77"/>
    <w:rsid w:val="00E2505B"/>
    <w:rsid w:val="0C6C6DF7"/>
    <w:rsid w:val="0CEB1914"/>
    <w:rsid w:val="0D557CB9"/>
    <w:rsid w:val="10A03EA3"/>
    <w:rsid w:val="10CE6E5E"/>
    <w:rsid w:val="12CE6BCA"/>
    <w:rsid w:val="17E024DD"/>
    <w:rsid w:val="18DD5DFE"/>
    <w:rsid w:val="1A1B430A"/>
    <w:rsid w:val="37725411"/>
    <w:rsid w:val="408C25E9"/>
    <w:rsid w:val="457E0E34"/>
    <w:rsid w:val="4907426D"/>
    <w:rsid w:val="4BD31E8F"/>
    <w:rsid w:val="4D624D51"/>
    <w:rsid w:val="58C56916"/>
    <w:rsid w:val="6394631A"/>
    <w:rsid w:val="67996745"/>
    <w:rsid w:val="6B663E17"/>
    <w:rsid w:val="6E392BA2"/>
    <w:rsid w:val="753C4F00"/>
    <w:rsid w:val="7B7F0DAE"/>
    <w:rsid w:val="7E2D0162"/>
    <w:rsid w:val="7E343E10"/>
    <w:rsid w:val="7E4748C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7">
    <w:name w:val="No Spacing"/>
    <w:qFormat/>
    <w:uiPriority w:val="0"/>
    <w:pPr>
      <w:widowControl w:val="0"/>
      <w:jc w:val="both"/>
    </w:pPr>
    <w:rPr>
      <w:rFonts w:ascii="Calibri" w:hAnsi="Calibri" w:eastAsia="宋体" w:cs="Times New Roman"/>
      <w:kern w:val="2"/>
      <w:sz w:val="21"/>
      <w:szCs w:val="22"/>
      <w:lang w:val="en-US" w:eastAsia="zh-CN" w:bidi="ar-SA"/>
    </w:rPr>
  </w:style>
  <w:style w:type="paragraph" w:customStyle="1" w:styleId="8">
    <w:name w:val="无间隔1"/>
    <w:qFormat/>
    <w:uiPriority w:val="99"/>
    <w:pPr>
      <w:widowControl w:val="0"/>
      <w:jc w:val="both"/>
    </w:pPr>
    <w:rPr>
      <w:rFonts w:ascii="Calibri" w:hAnsi="Calibri" w:eastAsia="宋体" w:cs="Times New Roman"/>
      <w:kern w:val="2"/>
      <w:sz w:val="21"/>
      <w:szCs w:val="22"/>
      <w:lang w:val="en-US" w:eastAsia="zh-CN" w:bidi="ar-SA"/>
    </w:rPr>
  </w:style>
  <w:style w:type="paragraph" w:customStyle="1" w:styleId="9">
    <w:name w:val="无间隔2"/>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451</Words>
  <Characters>497</Characters>
  <Lines>114</Lines>
  <Paragraphs>32</Paragraphs>
  <TotalTime>6</TotalTime>
  <ScaleCrop>false</ScaleCrop>
  <LinksUpToDate>false</LinksUpToDate>
  <CharactersWithSpaces>498</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2022-04-28T00:19:00Z</dcterms:created>
  <dc:creator>Administrator</dc:creator>
  <cp:lastModifiedBy>大道至简</cp:lastModifiedBy>
  <cp:lastPrinted>2022-05-05T06:56:22Z</cp:lastPrinted>
  <dcterms:modified xsi:type="dcterms:W3CDTF">2022-05-05T06:56:37Z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34C1ECA95FBB4B74B591406F5D6E1967</vt:lpwstr>
  </property>
  <property fmtid="{D5CDD505-2E9C-101B-9397-08002B2CF9AE}" pid="4" name="commondata">
    <vt:lpwstr>eyJoZGlkIjoiNmIyNzA0OWQ1ZTE2ZjI1MmVjZDYwMDMxODkxY2FjMDYifQ==</vt:lpwstr>
  </property>
</Properties>
</file>