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Autospacing="0" w:afterAutospacing="0" w:line="17" w:lineRule="atLeast"/>
        <w:jc w:val="center"/>
        <w:rPr>
          <w:rFonts w:hint="default" w:cs="微软雅黑" w:asciiTheme="majorEastAsia" w:hAnsiTheme="majorEastAsia" w:eastAsiaTheme="majorEastAsia"/>
          <w:sz w:val="44"/>
          <w:szCs w:val="44"/>
        </w:rPr>
      </w:pPr>
      <w:r>
        <w:rPr>
          <w:rFonts w:cs="微软雅黑" w:asciiTheme="majorEastAsia" w:hAnsiTheme="majorEastAsia" w:eastAsiaTheme="majorEastAsia"/>
          <w:sz w:val="44"/>
          <w:szCs w:val="44"/>
          <w:shd w:val="clear" w:color="auto" w:fill="FFFFFF"/>
        </w:rPr>
        <w:t>湘潭县卫生健康局2020年政府信息公开工作年度报告</w:t>
      </w:r>
    </w:p>
    <w:p>
      <w:pPr>
        <w:pStyle w:val="5"/>
        <w:widowControl/>
        <w:spacing w:before="360" w:beforeAutospacing="0" w:afterAutospacing="0" w:line="33" w:lineRule="atLeast"/>
        <w:ind w:firstLine="800" w:firstLineChars="250"/>
        <w:jc w:val="both"/>
        <w:rPr>
          <w:rFonts w:ascii="宋体" w:hAnsi="宋体" w:eastAsia="宋体" w:cs="宋体"/>
          <w:color w:val="333333"/>
          <w:sz w:val="32"/>
          <w:szCs w:val="32"/>
        </w:rPr>
      </w:pPr>
      <w:r>
        <w:rPr>
          <w:rFonts w:hint="eastAsia" w:ascii="宋体" w:hAnsi="宋体" w:eastAsia="宋体" w:cs="宋体"/>
          <w:color w:val="333333"/>
          <w:sz w:val="32"/>
          <w:szCs w:val="32"/>
          <w:shd w:val="clear" w:color="auto" w:fill="FFFFFF"/>
        </w:rPr>
        <w:t>本年度报告是根据《中华人民共和国政府信息公开条例》（以下简称《条例》）文件要求，由湘潭县卫生健康局编制而成。全文包括工作概述、政府</w:t>
      </w:r>
      <w:bookmarkStart w:id="0" w:name="_GoBack"/>
      <w:bookmarkEnd w:id="0"/>
      <w:r>
        <w:rPr>
          <w:rFonts w:hint="eastAsia" w:ascii="宋体" w:hAnsi="宋体" w:eastAsia="宋体" w:cs="宋体"/>
          <w:color w:val="333333"/>
          <w:sz w:val="32"/>
          <w:szCs w:val="32"/>
          <w:shd w:val="clear" w:color="auto" w:fill="FFFFFF"/>
        </w:rPr>
        <w:t>信息主动公开情况、依申请公开政府信息情况、信息收取的费用情况、行政复议和行政诉讼情况、存在问题及改进措施等。报告中所列数据的统计期限为2020年1月1日到2020年12月31日止。如对本报告有任何疑问，请与湘潭县卫生健康局办公室联系（地址：湘潭县易俗河镇牡丹路9号，邮编：411228，电话：0731—57882913）。</w:t>
      </w:r>
    </w:p>
    <w:p>
      <w:pPr>
        <w:pStyle w:val="5"/>
        <w:widowControl/>
        <w:spacing w:before="360" w:beforeAutospacing="0" w:afterAutospacing="0" w:line="33" w:lineRule="atLeast"/>
        <w:ind w:firstLine="420"/>
        <w:jc w:val="both"/>
        <w:rPr>
          <w:rFonts w:ascii="黑体" w:hAnsi="黑体" w:eastAsia="黑体" w:cs="宋体"/>
          <w:color w:val="333333"/>
          <w:sz w:val="32"/>
          <w:szCs w:val="32"/>
        </w:rPr>
      </w:pPr>
      <w:r>
        <w:rPr>
          <w:rFonts w:hint="eastAsia" w:ascii="黑体" w:hAnsi="黑体" w:eastAsia="黑体" w:cs="宋体"/>
          <w:color w:val="333333"/>
          <w:sz w:val="32"/>
          <w:szCs w:val="32"/>
          <w:shd w:val="clear" w:color="auto" w:fill="FFFFFF"/>
        </w:rPr>
        <w:t>一、工作情况概述</w:t>
      </w:r>
    </w:p>
    <w:p>
      <w:pPr>
        <w:pStyle w:val="5"/>
        <w:widowControl/>
        <w:spacing w:before="360" w:beforeAutospacing="0" w:afterAutospacing="0" w:line="33" w:lineRule="atLeast"/>
        <w:ind w:firstLine="420"/>
        <w:jc w:val="both"/>
        <w:rPr>
          <w:rFonts w:ascii="宋体" w:hAnsi="宋体" w:eastAsia="宋体" w:cs="宋体"/>
          <w:color w:val="333333"/>
          <w:sz w:val="32"/>
          <w:szCs w:val="32"/>
        </w:rPr>
      </w:pPr>
      <w:r>
        <w:rPr>
          <w:rFonts w:hint="eastAsia" w:ascii="宋体" w:hAnsi="宋体" w:eastAsia="宋体" w:cs="宋体"/>
          <w:color w:val="333333"/>
          <w:sz w:val="32"/>
          <w:szCs w:val="32"/>
          <w:shd w:val="clear" w:color="auto" w:fill="FFFFFF"/>
        </w:rPr>
        <w:t>2020年，在县委、县政府的正确领导下，以习近平新时代中国特色社会主义思想为指导，围绕党的十九大关于健康中国战略，全面落实新时期卫生与健康工作方针，认真贯彻落实《中华人民共和国政府信息公开条例》《中共中央办公厅国务院办公厅关于深化政务公开加强政务服务的意见》精神，立足职能，健全制度，规范程序，推动政府信息公开工作取得新进展。</w:t>
      </w:r>
    </w:p>
    <w:p>
      <w:pPr>
        <w:pStyle w:val="5"/>
        <w:widowControl/>
        <w:spacing w:before="360" w:beforeAutospacing="0" w:afterAutospacing="0" w:line="33" w:lineRule="atLeast"/>
        <w:ind w:firstLine="640" w:firstLineChars="200"/>
        <w:jc w:val="both"/>
        <w:rPr>
          <w:rFonts w:ascii="宋体" w:hAnsi="宋体" w:eastAsia="宋体" w:cs="宋体"/>
          <w:color w:val="333333"/>
          <w:sz w:val="32"/>
          <w:szCs w:val="32"/>
        </w:rPr>
      </w:pPr>
      <w:r>
        <w:rPr>
          <w:rFonts w:hint="eastAsia" w:ascii="宋体" w:hAnsi="宋体" w:eastAsia="宋体" w:cs="宋体"/>
          <w:color w:val="333333"/>
          <w:sz w:val="32"/>
          <w:szCs w:val="32"/>
          <w:shd w:val="clear" w:color="auto" w:fill="FFFFFF"/>
        </w:rPr>
        <w:t>为切实加强对政府信息公开工作的领导，形成了由局党委书记、局长负总责，副局长作为分管领导亲自抓，</w:t>
      </w:r>
      <w:r>
        <w:rPr>
          <w:rFonts w:hint="eastAsia" w:ascii="宋体" w:hAnsi="宋体" w:eastAsia="宋体" w:cs="宋体"/>
          <w:sz w:val="32"/>
          <w:szCs w:val="32"/>
          <w:shd w:val="clear" w:color="auto" w:fill="FFFFFF"/>
        </w:rPr>
        <w:t>局法规股和宣教股作为政府信</w:t>
      </w:r>
      <w:r>
        <w:rPr>
          <w:rFonts w:hint="eastAsia" w:ascii="宋体" w:hAnsi="宋体" w:eastAsia="宋体" w:cs="宋体"/>
          <w:color w:val="333333"/>
          <w:sz w:val="32"/>
          <w:szCs w:val="32"/>
          <w:shd w:val="clear" w:color="auto" w:fill="FFFFFF"/>
        </w:rPr>
        <w:t>息公开暨政务公开工作主办股室具体抓的工作体系，确保了政府信息公开工作领导到位、责任到岗、任务到人，为全面推进政府信息公开工作提供了强有力的组织保证。及时回复群众民生关切，认真做好12345县长热线等热线栏目，细致地解答群众关心的热点、难点问题，做到处理及时、群众满意。我局高度重视政府信息公开工作，把政府信息公开工作纳入年初工作任务分解和年底目标考核管理。</w:t>
      </w:r>
    </w:p>
    <w:p>
      <w:pPr>
        <w:pStyle w:val="5"/>
        <w:widowControl/>
        <w:spacing w:before="360" w:beforeAutospacing="0" w:afterAutospacing="0" w:line="33" w:lineRule="atLeast"/>
        <w:ind w:firstLine="640" w:firstLineChars="200"/>
        <w:jc w:val="both"/>
        <w:rPr>
          <w:rFonts w:ascii="黑体" w:hAnsi="黑体" w:eastAsia="黑体" w:cs="宋体"/>
          <w:color w:val="333333"/>
          <w:sz w:val="32"/>
          <w:szCs w:val="32"/>
          <w:shd w:val="clear" w:color="auto" w:fill="FFFFFF"/>
        </w:rPr>
      </w:pPr>
      <w:r>
        <w:rPr>
          <w:rFonts w:hint="eastAsia" w:ascii="黑体" w:hAnsi="黑体" w:eastAsia="黑体" w:cs="宋体"/>
          <w:color w:val="333333"/>
          <w:sz w:val="32"/>
          <w:szCs w:val="32"/>
          <w:shd w:val="clear" w:color="auto" w:fill="FFFFFF"/>
        </w:rPr>
        <w:t>二、政府信息主动公开情况</w:t>
      </w:r>
    </w:p>
    <w:p>
      <w:pPr>
        <w:pStyle w:val="5"/>
        <w:widowControl/>
        <w:spacing w:before="360" w:beforeAutospacing="0" w:afterAutospacing="0" w:line="33" w:lineRule="atLeast"/>
        <w:ind w:firstLine="640" w:firstLineChars="200"/>
        <w:jc w:val="both"/>
        <w:rPr>
          <w:rFonts w:ascii="宋体" w:hAnsi="宋体" w:eastAsia="宋体" w:cs="宋体"/>
          <w:color w:val="333333"/>
          <w:sz w:val="32"/>
          <w:szCs w:val="32"/>
          <w:shd w:val="clear" w:color="auto" w:fill="FFFFFF"/>
        </w:rPr>
      </w:pPr>
      <w:r>
        <w:rPr>
          <w:rFonts w:hint="eastAsia" w:ascii="宋体" w:hAnsi="宋体" w:eastAsia="宋体" w:cs="宋体"/>
          <w:color w:val="333333"/>
          <w:sz w:val="32"/>
          <w:szCs w:val="32"/>
          <w:shd w:val="clear" w:color="auto" w:fill="FFFFFF"/>
        </w:rPr>
        <w:t>我局政府信息公开工作严格按照“公开为原则，不公开为例外”的总体要求，妥善处理公开与保密的关系，合理界定信息公开范围，做到积极稳妥，及时准确，公开、公正、便民。2020年我局主动公开政府信息总数76条。由我局核发的《医疗机构执业许可证》的医疗机构共791家，2020年新办医疗机构17家，依法注销医疗机构31家；办理医师执业注册351件，其中首次注册88人，变更注册238人，注销注册3人，多机构备案35人,注册备案20人；办理护士执业注册545件，其中首次注册76人，重新注册36人，变更注册150人，延续注册226人，注销注册38人。落实我局相关工作制度，依法依规做好依申请公开工作，坚持局机关依申请公开工作情况通报制度，进一步提高依申请公开件的办理效率和质量。</w:t>
      </w:r>
    </w:p>
    <w:p>
      <w:pPr>
        <w:pStyle w:val="5"/>
        <w:widowControl/>
        <w:spacing w:before="360" w:beforeAutospacing="0" w:afterAutospacing="0" w:line="33" w:lineRule="atLeast"/>
        <w:ind w:firstLine="640" w:firstLineChars="200"/>
        <w:jc w:val="both"/>
        <w:rPr>
          <w:rFonts w:ascii="宋体" w:hAnsi="宋体" w:eastAsia="宋体" w:cs="宋体"/>
          <w:color w:val="333333"/>
          <w:sz w:val="32"/>
          <w:szCs w:val="32"/>
        </w:rPr>
      </w:pPr>
    </w:p>
    <w:tbl>
      <w:tblPr>
        <w:tblStyle w:val="6"/>
        <w:tblW w:w="0" w:type="auto"/>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autofit"/>
        <w:tblCellMar>
          <w:top w:w="30" w:type="dxa"/>
          <w:left w:w="30" w:type="dxa"/>
          <w:bottom w:w="30" w:type="dxa"/>
          <w:right w:w="30" w:type="dxa"/>
        </w:tblCellMar>
      </w:tblPr>
      <w:tblGrid>
        <w:gridCol w:w="2897"/>
        <w:gridCol w:w="2083"/>
        <w:gridCol w:w="1260"/>
        <w:gridCol w:w="1905"/>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8145" w:type="dxa"/>
            <w:gridSpan w:val="4"/>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第二十条第（一）项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289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信息内容</w:t>
            </w:r>
          </w:p>
        </w:tc>
        <w:tc>
          <w:tcPr>
            <w:tcW w:w="208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本年新</w:t>
            </w:r>
          </w:p>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制作数量</w:t>
            </w:r>
          </w:p>
        </w:tc>
        <w:tc>
          <w:tcPr>
            <w:tcW w:w="12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本年新</w:t>
            </w:r>
          </w:p>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公开数量</w:t>
            </w:r>
          </w:p>
        </w:tc>
        <w:tc>
          <w:tcPr>
            <w:tcW w:w="19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对外公开总数量</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289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规章</w:t>
            </w:r>
          </w:p>
        </w:tc>
        <w:tc>
          <w:tcPr>
            <w:tcW w:w="208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0</w:t>
            </w:r>
          </w:p>
        </w:tc>
        <w:tc>
          <w:tcPr>
            <w:tcW w:w="12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0</w:t>
            </w:r>
          </w:p>
        </w:tc>
        <w:tc>
          <w:tcPr>
            <w:tcW w:w="19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289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规范性文件</w:t>
            </w:r>
          </w:p>
        </w:tc>
        <w:tc>
          <w:tcPr>
            <w:tcW w:w="208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0</w:t>
            </w:r>
          </w:p>
        </w:tc>
        <w:tc>
          <w:tcPr>
            <w:tcW w:w="12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0</w:t>
            </w:r>
          </w:p>
        </w:tc>
        <w:tc>
          <w:tcPr>
            <w:tcW w:w="19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8145" w:type="dxa"/>
            <w:gridSpan w:val="4"/>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第二十条第（五）项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289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信息内容</w:t>
            </w:r>
          </w:p>
        </w:tc>
        <w:tc>
          <w:tcPr>
            <w:tcW w:w="208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上一年项目数量</w:t>
            </w:r>
          </w:p>
        </w:tc>
        <w:tc>
          <w:tcPr>
            <w:tcW w:w="12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本年增/减</w:t>
            </w:r>
          </w:p>
        </w:tc>
        <w:tc>
          <w:tcPr>
            <w:tcW w:w="19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处理决定数量</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289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行政许可</w:t>
            </w:r>
          </w:p>
        </w:tc>
        <w:tc>
          <w:tcPr>
            <w:tcW w:w="208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270</w:t>
            </w:r>
          </w:p>
        </w:tc>
        <w:tc>
          <w:tcPr>
            <w:tcW w:w="12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-245</w:t>
            </w:r>
          </w:p>
        </w:tc>
        <w:tc>
          <w:tcPr>
            <w:tcW w:w="19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jc w:val="center"/>
              <w:rPr>
                <w:rFonts w:ascii="宋体"/>
                <w:sz w:val="24"/>
              </w:rPr>
            </w:pPr>
            <w:r>
              <w:rPr>
                <w:rFonts w:hint="eastAsia" w:ascii="宋体"/>
                <w:sz w:val="24"/>
              </w:rPr>
              <w:t>352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289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其他对外管理服务事项</w:t>
            </w:r>
          </w:p>
        </w:tc>
        <w:tc>
          <w:tcPr>
            <w:tcW w:w="208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12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19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8145" w:type="dxa"/>
            <w:gridSpan w:val="4"/>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第二十条第（六）项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289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信息内容</w:t>
            </w:r>
          </w:p>
        </w:tc>
        <w:tc>
          <w:tcPr>
            <w:tcW w:w="208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上一年项目数量</w:t>
            </w:r>
          </w:p>
        </w:tc>
        <w:tc>
          <w:tcPr>
            <w:tcW w:w="12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本年增/减</w:t>
            </w:r>
          </w:p>
        </w:tc>
        <w:tc>
          <w:tcPr>
            <w:tcW w:w="19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处理决定数量</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289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行政处罚</w:t>
            </w:r>
          </w:p>
        </w:tc>
        <w:tc>
          <w:tcPr>
            <w:tcW w:w="208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20</w:t>
            </w:r>
          </w:p>
        </w:tc>
        <w:tc>
          <w:tcPr>
            <w:tcW w:w="12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+77</w:t>
            </w:r>
          </w:p>
        </w:tc>
        <w:tc>
          <w:tcPr>
            <w:tcW w:w="19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28</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289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行政强制</w:t>
            </w:r>
          </w:p>
        </w:tc>
        <w:tc>
          <w:tcPr>
            <w:tcW w:w="208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12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19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8145" w:type="dxa"/>
            <w:gridSpan w:val="4"/>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第二十条第（八）项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289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信息内容</w:t>
            </w:r>
          </w:p>
        </w:tc>
        <w:tc>
          <w:tcPr>
            <w:tcW w:w="208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上一年项目数量</w:t>
            </w:r>
          </w:p>
        </w:tc>
        <w:tc>
          <w:tcPr>
            <w:tcW w:w="3165"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本年增/减</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289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行政事业性收费</w:t>
            </w:r>
          </w:p>
        </w:tc>
        <w:tc>
          <w:tcPr>
            <w:tcW w:w="208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3165"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8145" w:type="dxa"/>
            <w:gridSpan w:val="4"/>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第二十条第（九）项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289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信息内容</w:t>
            </w:r>
          </w:p>
        </w:tc>
        <w:tc>
          <w:tcPr>
            <w:tcW w:w="208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采购项目数量</w:t>
            </w:r>
          </w:p>
        </w:tc>
        <w:tc>
          <w:tcPr>
            <w:tcW w:w="3165"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采购总金额</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289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政府集中采购</w:t>
            </w:r>
          </w:p>
        </w:tc>
        <w:tc>
          <w:tcPr>
            <w:tcW w:w="208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 xml:space="preserve">        34</w:t>
            </w:r>
          </w:p>
        </w:tc>
        <w:tc>
          <w:tcPr>
            <w:tcW w:w="3165"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 xml:space="preserve">         161.31万元</w:t>
            </w:r>
          </w:p>
        </w:tc>
      </w:tr>
    </w:tbl>
    <w:p>
      <w:pPr>
        <w:pStyle w:val="5"/>
        <w:widowControl/>
        <w:spacing w:before="360" w:beforeAutospacing="0" w:afterAutospacing="0" w:line="33" w:lineRule="atLeast"/>
        <w:ind w:firstLine="420"/>
        <w:jc w:val="both"/>
        <w:rPr>
          <w:rFonts w:ascii="黑体" w:hAnsi="黑体" w:eastAsia="黑体" w:cs="宋体"/>
          <w:color w:val="333333"/>
          <w:sz w:val="32"/>
          <w:szCs w:val="32"/>
          <w:shd w:val="clear" w:color="auto" w:fill="FFFFFF"/>
        </w:rPr>
      </w:pPr>
      <w:r>
        <w:rPr>
          <w:rFonts w:hint="eastAsia" w:ascii="黑体" w:hAnsi="黑体" w:eastAsia="黑体" w:cs="宋体"/>
          <w:color w:val="333333"/>
          <w:sz w:val="32"/>
          <w:szCs w:val="32"/>
          <w:shd w:val="clear" w:color="auto" w:fill="FFFFFF"/>
        </w:rPr>
        <w:t> 三、收到和处理政府信息公开申请情况</w:t>
      </w:r>
    </w:p>
    <w:tbl>
      <w:tblPr>
        <w:tblStyle w:val="6"/>
        <w:tblW w:w="0" w:type="auto"/>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autofit"/>
        <w:tblCellMar>
          <w:top w:w="30" w:type="dxa"/>
          <w:left w:w="30" w:type="dxa"/>
          <w:bottom w:w="30" w:type="dxa"/>
          <w:right w:w="30" w:type="dxa"/>
        </w:tblCellMar>
      </w:tblPr>
      <w:tblGrid>
        <w:gridCol w:w="591"/>
        <w:gridCol w:w="819"/>
        <w:gridCol w:w="2475"/>
        <w:gridCol w:w="507"/>
        <w:gridCol w:w="603"/>
        <w:gridCol w:w="579"/>
        <w:gridCol w:w="699"/>
        <w:gridCol w:w="819"/>
        <w:gridCol w:w="627"/>
        <w:gridCol w:w="603"/>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885" w:type="dxa"/>
            <w:gridSpan w:val="3"/>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（本列数据的勾稽关系为：第一项加第二项之和，等于第三项加第四项之和）</w:t>
            </w:r>
          </w:p>
        </w:tc>
        <w:tc>
          <w:tcPr>
            <w:tcW w:w="4437" w:type="dxa"/>
            <w:gridSpan w:val="7"/>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申请人情况</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885" w:type="dxa"/>
            <w:gridSpan w:val="3"/>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507"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自然人</w:t>
            </w:r>
          </w:p>
        </w:tc>
        <w:tc>
          <w:tcPr>
            <w:tcW w:w="3327" w:type="dxa"/>
            <w:gridSpan w:val="5"/>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法人或其他组织</w:t>
            </w:r>
          </w:p>
        </w:tc>
        <w:tc>
          <w:tcPr>
            <w:tcW w:w="603"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总计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885" w:type="dxa"/>
            <w:gridSpan w:val="3"/>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507"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商业企业</w:t>
            </w:r>
          </w:p>
        </w:tc>
        <w:tc>
          <w:tcPr>
            <w:tcW w:w="5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科研机构</w:t>
            </w:r>
          </w:p>
        </w:tc>
        <w:tc>
          <w:tcPr>
            <w:tcW w:w="69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社会公益组织</w:t>
            </w:r>
          </w:p>
        </w:tc>
        <w:tc>
          <w:tcPr>
            <w:tcW w:w="81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法律服务机构</w:t>
            </w:r>
          </w:p>
        </w:tc>
        <w:tc>
          <w:tcPr>
            <w:tcW w:w="62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其他</w:t>
            </w:r>
          </w:p>
        </w:tc>
        <w:tc>
          <w:tcPr>
            <w:tcW w:w="603"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885"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一、本年新收政府信息公开申请数量</w:t>
            </w:r>
          </w:p>
        </w:tc>
        <w:tc>
          <w:tcPr>
            <w:tcW w:w="50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5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9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81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2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885"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二、上年结转政府信息公开申请数量</w:t>
            </w:r>
          </w:p>
        </w:tc>
        <w:tc>
          <w:tcPr>
            <w:tcW w:w="50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5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9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81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2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591"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三、本年度办理结果</w:t>
            </w:r>
          </w:p>
        </w:tc>
        <w:tc>
          <w:tcPr>
            <w:tcW w:w="3294"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（一）予以公开</w:t>
            </w:r>
          </w:p>
        </w:tc>
        <w:tc>
          <w:tcPr>
            <w:tcW w:w="50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5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9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81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2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591"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3294"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（二）部分公开（区分处理的，只计这一情形，不计其他情形）</w:t>
            </w:r>
          </w:p>
        </w:tc>
        <w:tc>
          <w:tcPr>
            <w:tcW w:w="50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ind w:firstLine="240" w:firstLineChars="100"/>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ind w:firstLine="240" w:firstLineChars="100"/>
              <w:rPr>
                <w:rFonts w:ascii="宋体" w:hAnsi="宋体" w:eastAsia="宋体" w:cs="宋体"/>
              </w:rPr>
            </w:pPr>
            <w:r>
              <w:rPr>
                <w:rFonts w:hint="eastAsia" w:ascii="宋体" w:hAnsi="宋体" w:eastAsia="宋体" w:cs="宋体"/>
              </w:rPr>
              <w:t>0</w:t>
            </w:r>
          </w:p>
        </w:tc>
        <w:tc>
          <w:tcPr>
            <w:tcW w:w="5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9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81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2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591"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819"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（三）不予公开</w:t>
            </w:r>
          </w:p>
        </w:tc>
        <w:tc>
          <w:tcPr>
            <w:tcW w:w="24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1.属于国家秘密</w:t>
            </w:r>
          </w:p>
        </w:tc>
        <w:tc>
          <w:tcPr>
            <w:tcW w:w="50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5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9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81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2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591"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819"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24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2.其他法律行政法规禁止公开</w:t>
            </w:r>
          </w:p>
        </w:tc>
        <w:tc>
          <w:tcPr>
            <w:tcW w:w="50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5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9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81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2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591"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819"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24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3.危及“三安全一稳定”</w:t>
            </w:r>
          </w:p>
        </w:tc>
        <w:tc>
          <w:tcPr>
            <w:tcW w:w="50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5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9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81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2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591"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819"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24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4.保护第三方合法权益</w:t>
            </w:r>
          </w:p>
        </w:tc>
        <w:tc>
          <w:tcPr>
            <w:tcW w:w="50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5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9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81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2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591"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819"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24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5.属于三类内部事务信息</w:t>
            </w:r>
          </w:p>
        </w:tc>
        <w:tc>
          <w:tcPr>
            <w:tcW w:w="50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5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9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81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2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591"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819"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24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6.属于四类过程性信息</w:t>
            </w:r>
          </w:p>
        </w:tc>
        <w:tc>
          <w:tcPr>
            <w:tcW w:w="50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5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9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81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2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591"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819"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24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7.属于行政执法案卷</w:t>
            </w:r>
          </w:p>
        </w:tc>
        <w:tc>
          <w:tcPr>
            <w:tcW w:w="50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5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9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81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2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591"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819"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24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8.属于行政查询事项</w:t>
            </w:r>
          </w:p>
        </w:tc>
        <w:tc>
          <w:tcPr>
            <w:tcW w:w="50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5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9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81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2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591"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819"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（四）无法提供</w:t>
            </w:r>
          </w:p>
        </w:tc>
        <w:tc>
          <w:tcPr>
            <w:tcW w:w="24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1.本机关不掌握相关政府信息</w:t>
            </w:r>
          </w:p>
        </w:tc>
        <w:tc>
          <w:tcPr>
            <w:tcW w:w="50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5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9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81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2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591"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819"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24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2.没有现成信息需要另行制作</w:t>
            </w:r>
          </w:p>
        </w:tc>
        <w:tc>
          <w:tcPr>
            <w:tcW w:w="50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5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9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81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2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591"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819"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24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3.补正后申请内容仍不明确</w:t>
            </w:r>
          </w:p>
        </w:tc>
        <w:tc>
          <w:tcPr>
            <w:tcW w:w="50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5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9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81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2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591"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819"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（五）不予处理</w:t>
            </w:r>
          </w:p>
        </w:tc>
        <w:tc>
          <w:tcPr>
            <w:tcW w:w="24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1.信访举报投诉类申请</w:t>
            </w:r>
          </w:p>
        </w:tc>
        <w:tc>
          <w:tcPr>
            <w:tcW w:w="50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5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9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81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2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591"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819"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24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2.重复申请</w:t>
            </w:r>
          </w:p>
        </w:tc>
        <w:tc>
          <w:tcPr>
            <w:tcW w:w="50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5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9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81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2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591"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819"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24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3.要求提供公开出版物</w:t>
            </w:r>
          </w:p>
        </w:tc>
        <w:tc>
          <w:tcPr>
            <w:tcW w:w="50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5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9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81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2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591"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819"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24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4.无正当理由大量反复申请</w:t>
            </w:r>
          </w:p>
        </w:tc>
        <w:tc>
          <w:tcPr>
            <w:tcW w:w="50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5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9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81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2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591"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819"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24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5.要求行政机关确认或重新出具已获取信息</w:t>
            </w:r>
          </w:p>
        </w:tc>
        <w:tc>
          <w:tcPr>
            <w:tcW w:w="50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5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9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81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2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591"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3294"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（六）其他处理</w:t>
            </w:r>
          </w:p>
        </w:tc>
        <w:tc>
          <w:tcPr>
            <w:tcW w:w="50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5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9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81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2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591"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3294"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（七）总计</w:t>
            </w:r>
          </w:p>
        </w:tc>
        <w:tc>
          <w:tcPr>
            <w:tcW w:w="50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5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9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81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2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885"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四、结转下年度继续办理</w:t>
            </w:r>
          </w:p>
        </w:tc>
        <w:tc>
          <w:tcPr>
            <w:tcW w:w="50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5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9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81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2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bl>
    <w:p>
      <w:pPr>
        <w:pStyle w:val="5"/>
        <w:widowControl/>
        <w:spacing w:before="360" w:beforeAutospacing="0" w:afterAutospacing="0" w:line="33" w:lineRule="atLeast"/>
        <w:ind w:firstLine="420"/>
        <w:jc w:val="both"/>
        <w:rPr>
          <w:rFonts w:ascii="黑体" w:hAnsi="黑体" w:eastAsia="黑体" w:cs="宋体"/>
          <w:color w:val="333333"/>
          <w:sz w:val="32"/>
          <w:szCs w:val="32"/>
          <w:shd w:val="clear" w:color="auto" w:fill="FFFFFF"/>
        </w:rPr>
      </w:pPr>
      <w:r>
        <w:rPr>
          <w:rFonts w:hint="eastAsia" w:ascii="黑体" w:hAnsi="黑体" w:eastAsia="黑体" w:cs="宋体"/>
          <w:color w:val="333333"/>
          <w:sz w:val="32"/>
          <w:szCs w:val="32"/>
          <w:shd w:val="clear" w:color="auto" w:fill="FFFFFF"/>
        </w:rPr>
        <w:t> 四、政府信息公开行政复议、行政诉讼情况</w:t>
      </w:r>
    </w:p>
    <w:tbl>
      <w:tblPr>
        <w:tblStyle w:val="6"/>
        <w:tblW w:w="0" w:type="auto"/>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autofit"/>
        <w:tblCellMar>
          <w:top w:w="30" w:type="dxa"/>
          <w:left w:w="30" w:type="dxa"/>
          <w:bottom w:w="30" w:type="dxa"/>
          <w:right w:w="30" w:type="dxa"/>
        </w:tblCellMar>
      </w:tblPr>
      <w:tblGrid>
        <w:gridCol w:w="552"/>
        <w:gridCol w:w="552"/>
        <w:gridCol w:w="552"/>
        <w:gridCol w:w="552"/>
        <w:gridCol w:w="604"/>
        <w:gridCol w:w="501"/>
        <w:gridCol w:w="552"/>
        <w:gridCol w:w="552"/>
        <w:gridCol w:w="552"/>
        <w:gridCol w:w="578"/>
        <w:gridCol w:w="552"/>
        <w:gridCol w:w="552"/>
        <w:gridCol w:w="552"/>
        <w:gridCol w:w="553"/>
        <w:gridCol w:w="566"/>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060" w:type="dxa"/>
            <w:gridSpan w:val="5"/>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行政复议</w:t>
            </w:r>
          </w:p>
        </w:tc>
        <w:tc>
          <w:tcPr>
            <w:tcW w:w="5985" w:type="dxa"/>
            <w:gridSpan w:val="10"/>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行政诉讼</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00"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结果维持</w:t>
            </w:r>
          </w:p>
        </w:tc>
        <w:tc>
          <w:tcPr>
            <w:tcW w:w="600"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结果纠正</w:t>
            </w:r>
          </w:p>
        </w:tc>
        <w:tc>
          <w:tcPr>
            <w:tcW w:w="600"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其他结果</w:t>
            </w:r>
          </w:p>
        </w:tc>
        <w:tc>
          <w:tcPr>
            <w:tcW w:w="600"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尚未审结</w:t>
            </w:r>
          </w:p>
        </w:tc>
        <w:tc>
          <w:tcPr>
            <w:tcW w:w="645"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总计</w:t>
            </w:r>
          </w:p>
        </w:tc>
        <w:tc>
          <w:tcPr>
            <w:tcW w:w="2970" w:type="dxa"/>
            <w:gridSpan w:val="5"/>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未经复议直接起诉</w:t>
            </w:r>
          </w:p>
        </w:tc>
        <w:tc>
          <w:tcPr>
            <w:tcW w:w="3015" w:type="dxa"/>
            <w:gridSpan w:val="5"/>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color w:val="333333"/>
              </w:rPr>
            </w:pPr>
            <w:r>
              <w:rPr>
                <w:rFonts w:hint="eastAsia" w:ascii="宋体" w:hAnsi="宋体" w:eastAsia="宋体" w:cs="宋体"/>
                <w:color w:val="333333"/>
              </w:rPr>
              <w:t>复议后起诉</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00"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645" w:type="dxa"/>
            <w:vMerge w:val="continue"/>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rPr>
                <w:rFonts w:ascii="宋体"/>
                <w:sz w:val="24"/>
              </w:rPr>
            </w:pPr>
          </w:p>
        </w:tc>
        <w:tc>
          <w:tcPr>
            <w:tcW w:w="54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结果维持</w:t>
            </w:r>
          </w:p>
        </w:tc>
        <w:tc>
          <w:tcPr>
            <w:tcW w:w="6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结果纠正</w:t>
            </w:r>
          </w:p>
        </w:tc>
        <w:tc>
          <w:tcPr>
            <w:tcW w:w="6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其他结果</w:t>
            </w:r>
          </w:p>
        </w:tc>
        <w:tc>
          <w:tcPr>
            <w:tcW w:w="6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尚未审结</w:t>
            </w:r>
          </w:p>
        </w:tc>
        <w:tc>
          <w:tcPr>
            <w:tcW w:w="6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总计</w:t>
            </w:r>
          </w:p>
        </w:tc>
        <w:tc>
          <w:tcPr>
            <w:tcW w:w="6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结果维持</w:t>
            </w:r>
          </w:p>
        </w:tc>
        <w:tc>
          <w:tcPr>
            <w:tcW w:w="6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结果纠正</w:t>
            </w:r>
          </w:p>
        </w:tc>
        <w:tc>
          <w:tcPr>
            <w:tcW w:w="6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其他结果</w:t>
            </w:r>
          </w:p>
        </w:tc>
        <w:tc>
          <w:tcPr>
            <w:tcW w:w="6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尚未审结</w:t>
            </w:r>
          </w:p>
        </w:tc>
        <w:tc>
          <w:tcPr>
            <w:tcW w:w="6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both"/>
              <w:rPr>
                <w:rFonts w:ascii="宋体" w:hAnsi="宋体" w:eastAsia="宋体" w:cs="宋体"/>
                <w:color w:val="333333"/>
              </w:rPr>
            </w:pPr>
            <w:r>
              <w:rPr>
                <w:rFonts w:hint="eastAsia" w:ascii="宋体" w:hAnsi="宋体" w:eastAsia="宋体" w:cs="宋体"/>
                <w:color w:val="333333"/>
              </w:rPr>
              <w:t>总计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4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54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c>
          <w:tcPr>
            <w:tcW w:w="6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5"/>
              <w:widowControl/>
              <w:spacing w:beforeAutospacing="0" w:afterAutospacing="0" w:line="33" w:lineRule="atLeast"/>
              <w:jc w:val="center"/>
              <w:rPr>
                <w:rFonts w:ascii="宋体" w:hAnsi="宋体" w:eastAsia="宋体" w:cs="宋体"/>
              </w:rPr>
            </w:pPr>
            <w:r>
              <w:rPr>
                <w:rFonts w:hint="eastAsia" w:ascii="宋体" w:hAnsi="宋体" w:eastAsia="宋体" w:cs="宋体"/>
              </w:rPr>
              <w:t>0</w:t>
            </w:r>
          </w:p>
        </w:tc>
      </w:tr>
    </w:tbl>
    <w:p>
      <w:pPr>
        <w:pStyle w:val="5"/>
        <w:widowControl/>
        <w:spacing w:before="360" w:beforeAutospacing="0" w:afterAutospacing="0" w:line="33" w:lineRule="atLeast"/>
        <w:ind w:firstLine="320" w:firstLineChars="100"/>
        <w:jc w:val="both"/>
        <w:rPr>
          <w:rFonts w:ascii="黑体" w:hAnsi="黑体" w:eastAsia="黑体" w:cs="宋体"/>
          <w:color w:val="333333"/>
          <w:sz w:val="32"/>
          <w:szCs w:val="32"/>
          <w:shd w:val="clear" w:color="auto" w:fill="FFFFFF"/>
        </w:rPr>
      </w:pPr>
      <w:r>
        <w:rPr>
          <w:rFonts w:hint="eastAsia" w:ascii="黑体" w:hAnsi="黑体" w:eastAsia="黑体" w:cs="宋体"/>
          <w:color w:val="333333"/>
          <w:sz w:val="32"/>
          <w:szCs w:val="32"/>
          <w:shd w:val="clear" w:color="auto" w:fill="FFFFFF"/>
        </w:rPr>
        <w:t> 五、存在的主要问题及改进情况</w:t>
      </w:r>
    </w:p>
    <w:p>
      <w:pPr>
        <w:pStyle w:val="5"/>
        <w:widowControl/>
        <w:spacing w:before="360" w:beforeAutospacing="0" w:afterAutospacing="0" w:line="33" w:lineRule="atLeast"/>
        <w:ind w:firstLine="420"/>
        <w:jc w:val="both"/>
        <w:rPr>
          <w:rFonts w:ascii="宋体" w:hAnsi="宋体" w:eastAsia="宋体" w:cs="宋体"/>
          <w:color w:val="333333"/>
          <w:sz w:val="32"/>
          <w:szCs w:val="32"/>
          <w:shd w:val="clear" w:color="auto" w:fill="FFFFFF"/>
        </w:rPr>
      </w:pPr>
      <w:r>
        <w:rPr>
          <w:rFonts w:hint="eastAsia" w:ascii="宋体" w:hAnsi="宋体" w:eastAsia="宋体" w:cs="宋体"/>
          <w:color w:val="333333"/>
          <w:shd w:val="clear" w:color="auto" w:fill="FFFFFF"/>
        </w:rPr>
        <w:t> </w:t>
      </w:r>
      <w:r>
        <w:rPr>
          <w:rFonts w:hint="eastAsia" w:ascii="宋体" w:hAnsi="宋体" w:eastAsia="宋体" w:cs="宋体"/>
          <w:color w:val="333333"/>
          <w:sz w:val="32"/>
          <w:szCs w:val="32"/>
          <w:shd w:val="clear" w:color="auto" w:fill="FFFFFF"/>
        </w:rPr>
        <w:t>2020年，对信息公开工作的重要性认识还应进一步加强，对负责信息工作的业务工作人员的学习和培训力度还应进一步提升。对以上问题，下一步我局将从以下三个方面着手，切实做好信息公开工作。一是强化学习引导。提高负责信息公开工作人员对政府信息公开工作重要性和必要性的认识，把信息公开工作列入重要议事日程，作为提高办事效率、促进机关作风进一步好转的重要途径，加强培训努力抓紧抓好抓出成效，组织各下属机构工作人员深入学习《政府信息公开条例》及相关文件精神，务必使大家掌握信息公开的程序和各种文书的正确使用，确保信息公开内容及时、全面。二是深化服务内容。在信息公开符合保密规定、公开的范围允许的范围的前提下，对信息公开的内容进一步深化，对《公开目录》进行补充和更新，丰富信息公开内容，有效扩大信息公开的影响力，更好地服务于社会。三是加强督促检查。组织人员对信息公开工作进行自查，督促抓落实，并将此项工作纳入年终考核，加大推行信息公开工作的力度。</w:t>
      </w:r>
    </w:p>
    <w:p>
      <w:pPr>
        <w:pStyle w:val="5"/>
        <w:widowControl/>
        <w:spacing w:before="360" w:beforeAutospacing="0" w:afterAutospacing="0" w:line="33" w:lineRule="atLeast"/>
        <w:ind w:firstLine="420"/>
        <w:jc w:val="both"/>
        <w:rPr>
          <w:rFonts w:ascii="黑体" w:hAnsi="黑体" w:eastAsia="黑体" w:cs="宋体"/>
          <w:color w:val="333333"/>
          <w:sz w:val="32"/>
          <w:szCs w:val="32"/>
          <w:shd w:val="clear" w:color="auto" w:fill="FFFFFF"/>
        </w:rPr>
      </w:pPr>
      <w:r>
        <w:rPr>
          <w:rFonts w:hint="eastAsia" w:ascii="黑体" w:hAnsi="黑体" w:eastAsia="黑体" w:cs="宋体"/>
          <w:color w:val="333333"/>
          <w:sz w:val="32"/>
          <w:szCs w:val="32"/>
          <w:shd w:val="clear" w:color="auto" w:fill="FFFFFF"/>
        </w:rPr>
        <w:t>六、其他需要报告的事项</w:t>
      </w:r>
    </w:p>
    <w:p>
      <w:pPr>
        <w:pStyle w:val="5"/>
        <w:widowControl/>
        <w:spacing w:before="360" w:beforeAutospacing="0" w:afterAutospacing="0" w:line="33" w:lineRule="atLeast"/>
        <w:ind w:firstLine="420"/>
        <w:jc w:val="both"/>
        <w:rPr>
          <w:rFonts w:ascii="宋体" w:hAnsi="宋体" w:eastAsia="宋体" w:cs="宋体"/>
          <w:color w:val="333333"/>
          <w:sz w:val="32"/>
          <w:szCs w:val="32"/>
          <w:shd w:val="clear" w:color="auto" w:fill="FFFFFF"/>
        </w:rPr>
      </w:pPr>
      <w:r>
        <w:rPr>
          <w:rFonts w:hint="eastAsia" w:ascii="宋体" w:hAnsi="宋体" w:eastAsia="宋体" w:cs="宋体"/>
          <w:color w:val="333333"/>
          <w:sz w:val="32"/>
          <w:szCs w:val="32"/>
          <w:shd w:val="clear" w:color="auto" w:fill="FFFFFF"/>
        </w:rPr>
        <w:t>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48E82D22"/>
    <w:rsid w:val="00115952"/>
    <w:rsid w:val="001677DF"/>
    <w:rsid w:val="00173F54"/>
    <w:rsid w:val="00492A97"/>
    <w:rsid w:val="004C70B6"/>
    <w:rsid w:val="004F4808"/>
    <w:rsid w:val="0055031E"/>
    <w:rsid w:val="005A0421"/>
    <w:rsid w:val="006120D1"/>
    <w:rsid w:val="006B19AC"/>
    <w:rsid w:val="00786321"/>
    <w:rsid w:val="009801B3"/>
    <w:rsid w:val="009D4B77"/>
    <w:rsid w:val="00A63DD3"/>
    <w:rsid w:val="00B771F8"/>
    <w:rsid w:val="00BD5CD4"/>
    <w:rsid w:val="00CD0601"/>
    <w:rsid w:val="00D55413"/>
    <w:rsid w:val="00D629DA"/>
    <w:rsid w:val="00D8787E"/>
    <w:rsid w:val="00DE6F16"/>
    <w:rsid w:val="00E132E2"/>
    <w:rsid w:val="00E62F97"/>
    <w:rsid w:val="00E7357F"/>
    <w:rsid w:val="00F723ED"/>
    <w:rsid w:val="00F90D9A"/>
    <w:rsid w:val="00FA51FA"/>
    <w:rsid w:val="24E0732E"/>
    <w:rsid w:val="48E82D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paragraph" w:styleId="3">
    <w:name w:val="heading 4"/>
    <w:basedOn w:val="1"/>
    <w:next w:val="1"/>
    <w:semiHidden/>
    <w:unhideWhenUsed/>
    <w:qFormat/>
    <w:uiPriority w:val="0"/>
    <w:pPr>
      <w:spacing w:beforeAutospacing="1" w:afterAutospacing="1"/>
      <w:jc w:val="left"/>
      <w:outlineLvl w:val="3"/>
    </w:pPr>
    <w:rPr>
      <w:rFonts w:hint="eastAsia" w:ascii="宋体" w:hAnsi="宋体" w:eastAsia="宋体" w:cs="Times New Roman"/>
      <w:b/>
      <w:kern w:val="0"/>
      <w:sz w:val="24"/>
    </w:rPr>
  </w:style>
  <w:style w:type="paragraph" w:styleId="4">
    <w:name w:val="heading 6"/>
    <w:basedOn w:val="1"/>
    <w:next w:val="1"/>
    <w:semiHidden/>
    <w:unhideWhenUsed/>
    <w:qFormat/>
    <w:uiPriority w:val="0"/>
    <w:pPr>
      <w:spacing w:beforeAutospacing="1" w:afterAutospacing="1"/>
      <w:jc w:val="left"/>
      <w:outlineLvl w:val="5"/>
    </w:pPr>
    <w:rPr>
      <w:rFonts w:hint="eastAsia" w:ascii="宋体" w:hAnsi="宋体" w:eastAsia="宋体" w:cs="Times New Roman"/>
      <w:b/>
      <w:kern w:val="0"/>
      <w:sz w:val="15"/>
      <w:szCs w:val="15"/>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5">
    <w:name w:val="Normal (Web)"/>
    <w:basedOn w:val="1"/>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F683E8-B063-41E0-AEDE-0EF1031B425D}">
  <ds:schemaRefs/>
</ds:datastoreItem>
</file>

<file path=docProps/app.xml><?xml version="1.0" encoding="utf-8"?>
<Properties xmlns="http://schemas.openxmlformats.org/officeDocument/2006/extended-properties" xmlns:vt="http://schemas.openxmlformats.org/officeDocument/2006/docPropsVTypes">
  <Template>Normal</Template>
  <Pages>5</Pages>
  <Words>410</Words>
  <Characters>2343</Characters>
  <Lines>19</Lines>
  <Paragraphs>5</Paragraphs>
  <TotalTime>0</TotalTime>
  <ScaleCrop>false</ScaleCrop>
  <LinksUpToDate>false</LinksUpToDate>
  <CharactersWithSpaces>2748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2021-01-18T09:47:00Z</dcterms:created>
  <dc:creator>梅子</dc:creator>
  <cp:lastModifiedBy>梅子</cp:lastModifiedBy>
  <dcterms:modified xsi:type="dcterms:W3CDTF">2021-01-20T07:00:29Z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