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hint="default" w:ascii="Times New Roman" w:hAnsi="Times New Roman" w:eastAsia="仿宋_GB2312" w:cs="Times New Roman"/>
          <w:sz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附表</w:t>
      </w:r>
    </w:p>
    <w:p>
      <w:pPr>
        <w:spacing w:before="313" w:beforeLines="100" w:after="313" w:afterLines="100" w:line="596" w:lineRule="exact"/>
        <w:jc w:val="center"/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42"/>
          <w:szCs w:val="42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42"/>
          <w:szCs w:val="42"/>
          <w:u w:val="none"/>
          <w:lang w:val="en-US" w:eastAsia="zh-CN" w:bidi="ar"/>
        </w:rPr>
        <w:t>湖南省实行政府指导价的公证服务收费项目和标准</w:t>
      </w:r>
    </w:p>
    <w:tbl>
      <w:tblPr>
        <w:tblStyle w:val="3"/>
        <w:tblW w:w="146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7005"/>
        <w:gridCol w:w="3570"/>
        <w:gridCol w:w="30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收费标准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6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一、证明文件文书类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证明文书上的签名、印鉴、日期</w:t>
            </w:r>
          </w:p>
        </w:tc>
        <w:tc>
          <w:tcPr>
            <w:tcW w:w="3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每件300元</w:t>
            </w:r>
          </w:p>
        </w:tc>
        <w:tc>
          <w:tcPr>
            <w:tcW w:w="30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证明知识产权的享有、转让和使用许可文书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每件500元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身份证、居民户口簿、户口注销证明、出生证、结婚证、学位学历证书、成绩单、技术职称证书、资格证书、驾驶证、机动车登记证书、行驶证、健康状况证明（证书）、疾病（诊断）证明、居民死亡医学证明书、判决书、调解书等证书（执照）、证明的复印件与原件相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每件150元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证明法人或其他组织的授权委托书、营业执照、公司章程、会议决议、财务报表、审计报告、法定代表人身份证明书或其他法律文书；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每件400元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证明自然人的授权委托书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证明自然人的承诺书、具结书、担保书、声明书、保证书、解除收养、认领亲子、亲子鉴定等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每件200元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证明文书的副本、影印本与原本相符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每件150元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办理涉外公证时，要求同时证明该公证书的译文与原文相符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6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二、证明法律事实类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赋予债权文书具有强制执行效力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在证明合同（协议）公证基础上加收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赋予债权文书具有强制执行效力合同需出具执行证书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证明收养关系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每件500元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0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证明合同（协议）</w:t>
            </w:r>
          </w:p>
        </w:tc>
        <w:tc>
          <w:tcPr>
            <w:tcW w:w="3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不涉及财产关系的，每件400元</w:t>
            </w:r>
          </w:p>
        </w:tc>
        <w:tc>
          <w:tcPr>
            <w:tcW w:w="30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涉及财产关系的：标的额10万元（含10万元）以下的，收取500元。</w:t>
            </w:r>
          </w:p>
        </w:tc>
        <w:tc>
          <w:tcPr>
            <w:tcW w:w="3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标的额在10万元以上的按分段累加计算法计收: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50万元（含50万元）以下的部分，按0.4%收取；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50万元以上至100万元（含100万元）的部分，按0.3%收取；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100万元以上至500万元（含500万元）的部分，按0.1%收取；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500万元以上至1000万元（含1000万元）的部分，按0.05%收取；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1000万元以上至5000万元（含5000万元）的部分，按0.04%收取；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5000万元以上至1亿元（含1亿元）的部分，按0.01%收取；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超过1亿元的部分，按0.007%收取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证明财产继承、赠与、接受遗赠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按受益额的比例分段累加计算：受益额20万元（含20万元）以下的部分，按1.2%收取，低于200元的按200元收取；</w:t>
            </w:r>
          </w:p>
        </w:tc>
        <w:tc>
          <w:tcPr>
            <w:tcW w:w="3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按办理公证时受益财产的市场价值为受益额计算。证明单方赠与或受赠的，减半收取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20万元以上至50万元（含50万元）的部分，按0.8%收取；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50万元以上至500万元（含500万元）的部分，按0.6%收取；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500万元以上至1000万元（含1000万元）的部分，按0.5%收取；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超过1000万元（含1000万元）的部分，按0.1%收取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证明遗嘱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含摄像、刻录光盘、冲印照片的费用。复杂的遗嘱公证可以进行协商收费，包括：办理时间超过半天、涉及其他行业专业技术辅助、涉及遗嘱信托或遗嘱监护内容等情况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出生、生存、死亡、国籍、户籍注销、曾用名、住所地（居住地）、学历、学位、自然人经历、职务（职称）、有无违法犯罪记录、婚姻状况、亲属关系、收入状况、纳税状况、选票、指纹、不可抗力（意外事件）、查无档案记录、证件遗失等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每件150元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证明资格、资信、房屋产权、股权、知识产权、存款、法人经历等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每件500元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证明监护权、抚养事实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证明招标投标、拍卖、彩票销售等竞争性交易行为或抽签、抽奖、评奖、物品销毁、公司会议等现场监督公证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每小时1000元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不满1小时，按1小时收取</w:t>
            </w:r>
            <w:r>
              <w:rPr>
                <w:rFonts w:hint="eastAsia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其中证明物品销毁按每次1000元、证明公司会议按每次2000元收取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证明股票发行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每件3万元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保全证据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复杂的保全证据，可以进行协商收费。复杂的情形包括：保全证据时间超过一小时且工作强度比较大的；涉及其他行业专业技术辅助；工作环境比较恶劣的；要求两名以上公证员分组进行的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证明对财产的清点、清算、评估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每次1000元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复杂的财产的清点、清算、评估，可以协商收费。复杂的情形包括：财产的清点、清算、评估时间超过一小时且工作强度比较大的；涉及其他行业专业技术辅助；工作环境比较恶劣的；要求两名以上公证员分组进行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票据拒绝证书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提存公证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按标的额的比例分段累计收取：标的额1000万元及以下部分，为0.3%，低于300元的按300元收取；</w:t>
            </w:r>
          </w:p>
        </w:tc>
        <w:tc>
          <w:tcPr>
            <w:tcW w:w="3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1000万元—1亿元部分（含1亿元），为0.08%；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1亿元以上部分，为0.05%</w:t>
            </w:r>
          </w:p>
        </w:tc>
        <w:tc>
          <w:tcPr>
            <w:tcW w:w="3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办理法律规定的抵押登记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每件300元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spacing w:line="596" w:lineRule="exact"/>
        <w:rPr>
          <w:rFonts w:eastAsia="仿宋_GB2312"/>
          <w:sz w:val="32"/>
        </w:rPr>
        <w:sectPr>
          <w:footerReference r:id="rId3" w:type="default"/>
          <w:footerReference r:id="rId4" w:type="even"/>
          <w:pgSz w:w="16838" w:h="11906" w:orient="landscape"/>
          <w:pgMar w:top="1417" w:right="1134" w:bottom="1417" w:left="1134" w:header="851" w:footer="1304" w:gutter="0"/>
          <w:cols w:space="720" w:num="1"/>
          <w:rtlGutter w:val="0"/>
          <w:docGrid w:type="lines" w:linePitch="312" w:charSpace="0"/>
        </w:sectPr>
      </w:pPr>
    </w:p>
    <w:p>
      <w:pPr>
        <w:spacing w:line="596" w:lineRule="exact"/>
        <w:rPr>
          <w:rFonts w:eastAsia="仿宋_GB2312"/>
          <w:sz w:val="32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4116705</wp:posOffset>
            </wp:positionV>
            <wp:extent cx="1790700" cy="457200"/>
            <wp:effectExtent l="0" t="0" r="0" b="0"/>
            <wp:wrapNone/>
            <wp:docPr id="1" name="图片 4" descr="批复_湘发改环资〔2019〕818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批复_湘发改环资〔2019〕818号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footerReference r:id="rId5" w:type="default"/>
      <w:footerReference r:id="rId6" w:type="even"/>
      <w:pgSz w:w="11906" w:h="16838"/>
      <w:pgMar w:top="1871" w:right="1531" w:bottom="1531" w:left="1587" w:header="851" w:footer="1304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5" w:rightChars="150"/>
      <w:jc w:val="center"/>
      <w:rPr>
        <w:sz w:val="28"/>
        <w:szCs w:val="28"/>
      </w:rPr>
    </w:pPr>
    <w:r>
      <w:rPr>
        <w:rFonts w:hint="eastAsia"/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57"/>
      <w:jc w:val="center"/>
      <w:rPr>
        <w:sz w:val="28"/>
        <w:szCs w:val="28"/>
      </w:rPr>
    </w:pPr>
    <w:r>
      <w:rPr>
        <w:rFonts w:hint="eastAsia"/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2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5" w:rightChars="150"/>
      <w:jc w:val="left"/>
      <w:rPr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57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76AA"/>
    <w:rsid w:val="1A3726A6"/>
    <w:rsid w:val="1B903C06"/>
    <w:rsid w:val="1FCA1249"/>
    <w:rsid w:val="366E37EA"/>
    <w:rsid w:val="4CF06D0C"/>
    <w:rsid w:val="4E7C3ABA"/>
    <w:rsid w:val="5FC5725B"/>
    <w:rsid w:val="67C676AA"/>
    <w:rsid w:val="78655C09"/>
    <w:rsid w:val="7EF05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2020-11-24T07:14:00Z</dcterms:created>
  <dc:creator>NTKO</dc:creator>
  <cp:lastModifiedBy>Administrator</cp:lastModifiedBy>
  <dcterms:modified xsi:type="dcterms:W3CDTF">2020-11-26T01:00:18Z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