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DBA35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840" w:lineRule="atLeast"/>
        <w:ind w:left="0" w:right="0" w:firstLine="0"/>
        <w:jc w:val="center"/>
        <w:rPr>
          <w:rFonts w:hint="eastAsia" w:asciiTheme="majorEastAsia" w:hAnsiTheme="majorEastAsia" w:eastAsiaTheme="majorEastAsia" w:cstheme="majorEastAsia"/>
          <w:b/>
          <w:bCs/>
          <w:i w:val="0"/>
          <w:iCs w:val="0"/>
          <w:caps w:val="0"/>
          <w:color w:val="333333"/>
          <w:spacing w:val="0"/>
          <w:w w:val="98"/>
          <w:sz w:val="44"/>
          <w:szCs w:val="44"/>
          <w:bdr w:val="none" w:color="auto" w:sz="0" w:space="0"/>
          <w:shd w:val="clear" w:fill="FFFFFF"/>
        </w:rPr>
      </w:pPr>
      <w:bookmarkStart w:id="0" w:name="_GoBack"/>
      <w:r>
        <w:rPr>
          <w:rFonts w:hint="eastAsia" w:asciiTheme="majorEastAsia" w:hAnsiTheme="majorEastAsia" w:eastAsiaTheme="majorEastAsia" w:cstheme="majorEastAsia"/>
          <w:b/>
          <w:bCs/>
          <w:i w:val="0"/>
          <w:iCs w:val="0"/>
          <w:caps w:val="0"/>
          <w:color w:val="333333"/>
          <w:spacing w:val="0"/>
          <w:w w:val="98"/>
          <w:sz w:val="44"/>
          <w:szCs w:val="44"/>
          <w:bdr w:val="none" w:color="auto" w:sz="0" w:space="0"/>
          <w:shd w:val="clear" w:fill="FFFFFF"/>
        </w:rPr>
        <w:t>国家税务总局湘潭县税务局等七单位关于印发《构建湘潭县社会保险费征缴协同共治联合服务机制》的通知</w:t>
      </w:r>
    </w:p>
    <w:bookmarkEnd w:id="0"/>
    <w:p w14:paraId="7F9168C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840" w:lineRule="atLeast"/>
        <w:ind w:left="0" w:right="0" w:firstLine="0"/>
        <w:jc w:val="center"/>
        <w:rPr>
          <w:rFonts w:hint="eastAsia" w:ascii="仿宋_GB2312" w:hAnsi="仿宋_GB2312" w:eastAsia="仿宋_GB2312" w:cs="仿宋_GB2312"/>
          <w:b w:val="0"/>
          <w:bCs w:val="0"/>
          <w:i w:val="0"/>
          <w:iCs w:val="0"/>
          <w:caps w:val="0"/>
          <w:color w:val="333333"/>
          <w:spacing w:val="0"/>
          <w:w w:val="98"/>
          <w:sz w:val="32"/>
          <w:szCs w:val="32"/>
        </w:rPr>
      </w:pPr>
      <w:r>
        <w:rPr>
          <w:rFonts w:hint="eastAsia" w:ascii="仿宋_GB2312" w:hAnsi="仿宋_GB2312" w:eastAsia="仿宋_GB2312" w:cs="仿宋_GB2312"/>
          <w:b w:val="0"/>
          <w:bCs w:val="0"/>
          <w:i w:val="0"/>
          <w:iCs w:val="0"/>
          <w:caps w:val="0"/>
          <w:color w:val="333333"/>
          <w:spacing w:val="0"/>
          <w:w w:val="98"/>
          <w:sz w:val="32"/>
          <w:szCs w:val="32"/>
          <w:bdr w:val="none" w:color="auto" w:sz="0" w:space="0"/>
          <w:shd w:val="clear" w:fill="FFFFFF"/>
        </w:rPr>
        <w:t>潭县税发〔2024〕6号</w:t>
      </w:r>
    </w:p>
    <w:p w14:paraId="27B43F1E">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宋体" w:hAnsi="宋体" w:eastAsia="仿宋_GB2312" w:cs="宋体"/>
          <w:i w:val="0"/>
          <w:iCs w:val="0"/>
          <w:caps w:val="0"/>
          <w:color w:val="333333"/>
          <w:spacing w:val="0"/>
          <w:sz w:val="32"/>
          <w:szCs w:val="24"/>
          <w:bdr w:val="none" w:color="auto" w:sz="0" w:space="0"/>
          <w:shd w:val="clear" w:fill="FFFFFF"/>
        </w:rPr>
      </w:pPr>
    </w:p>
    <w:p w14:paraId="0D44DBA3">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宋体" w:hAnsi="宋体" w:eastAsia="仿宋_GB2312" w:cs="宋体"/>
          <w:color w:val="333333"/>
          <w:sz w:val="32"/>
          <w:szCs w:val="24"/>
        </w:rPr>
      </w:pPr>
      <w:r>
        <w:rPr>
          <w:rFonts w:hint="eastAsia" w:ascii="宋体" w:hAnsi="宋体" w:eastAsia="仿宋_GB2312" w:cs="宋体"/>
          <w:i w:val="0"/>
          <w:iCs w:val="0"/>
          <w:caps w:val="0"/>
          <w:color w:val="333333"/>
          <w:spacing w:val="0"/>
          <w:sz w:val="32"/>
          <w:szCs w:val="24"/>
          <w:bdr w:val="none" w:color="auto" w:sz="0" w:space="0"/>
          <w:shd w:val="clear" w:fill="FFFFFF"/>
        </w:rPr>
        <w:t>各乡镇人民政府，县直机关相关单位，天易经开局相关局室：</w:t>
      </w:r>
    </w:p>
    <w:p w14:paraId="493FAE82">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宋体" w:hAnsi="宋体" w:eastAsia="仿宋_GB2312" w:cs="宋体"/>
          <w:color w:val="333333"/>
          <w:sz w:val="32"/>
          <w:szCs w:val="24"/>
        </w:rPr>
      </w:pPr>
      <w:r>
        <w:rPr>
          <w:rFonts w:hint="eastAsia" w:ascii="宋体" w:hAnsi="宋体" w:eastAsia="仿宋_GB2312" w:cs="宋体"/>
          <w:i w:val="0"/>
          <w:iCs w:val="0"/>
          <w:caps w:val="0"/>
          <w:color w:val="333333"/>
          <w:spacing w:val="0"/>
          <w:sz w:val="32"/>
          <w:szCs w:val="24"/>
          <w:bdr w:val="none" w:color="auto" w:sz="0" w:space="0"/>
          <w:shd w:val="clear" w:fill="FFFFFF"/>
        </w:rPr>
        <w:t>　　为全面贯彻党的二十大精神，巩固拓展学习贯彻习近平新时代中国特色社会主义思想主题教育成果，坚持和发展新时代“枫桥经验”，妥善处理社会保险费征缴争议，更好维护缴费人合法权益，构建和谐征缴环境，根据《中华人民共和国社会保险法》《社会保险费征缴暂行条例》等法律法规要求，结合湘潭县实际，建立湘潭县社会保险费征缴协同共治联合服务机制。现将有关事项通知如下：</w:t>
      </w:r>
    </w:p>
    <w:p w14:paraId="4CBB4EA9">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黑体" w:hAnsi="黑体" w:eastAsia="黑体" w:cs="黑体"/>
          <w:b/>
          <w:bCs/>
          <w:color w:val="333333"/>
          <w:sz w:val="32"/>
          <w:szCs w:val="24"/>
        </w:rPr>
      </w:pPr>
      <w:r>
        <w:rPr>
          <w:rFonts w:hint="eastAsia" w:ascii="宋体" w:hAnsi="宋体" w:eastAsia="仿宋_GB2312" w:cs="宋体"/>
          <w:i w:val="0"/>
          <w:iCs w:val="0"/>
          <w:caps w:val="0"/>
          <w:color w:val="333333"/>
          <w:spacing w:val="0"/>
          <w:sz w:val="32"/>
          <w:szCs w:val="24"/>
          <w:bdr w:val="none" w:color="auto" w:sz="0" w:space="0"/>
          <w:shd w:val="clear" w:fill="FFFFFF"/>
        </w:rPr>
        <w:t>　　</w:t>
      </w:r>
      <w:r>
        <w:rPr>
          <w:rFonts w:hint="eastAsia" w:ascii="黑体" w:hAnsi="黑体" w:eastAsia="黑体" w:cs="黑体"/>
          <w:b/>
          <w:bCs/>
          <w:i w:val="0"/>
          <w:iCs w:val="0"/>
          <w:caps w:val="0"/>
          <w:color w:val="333333"/>
          <w:spacing w:val="0"/>
          <w:sz w:val="32"/>
          <w:szCs w:val="24"/>
          <w:bdr w:val="none" w:color="auto" w:sz="0" w:space="0"/>
          <w:shd w:val="clear" w:fill="FFFFFF"/>
        </w:rPr>
        <w:t>一、指导思想</w:t>
      </w:r>
    </w:p>
    <w:p w14:paraId="12CDD81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宋体" w:hAnsi="宋体" w:eastAsia="仿宋_GB2312" w:cs="宋体"/>
          <w:color w:val="333333"/>
          <w:sz w:val="32"/>
          <w:szCs w:val="24"/>
        </w:rPr>
      </w:pPr>
      <w:r>
        <w:rPr>
          <w:rFonts w:hint="eastAsia" w:ascii="宋体" w:hAnsi="宋体" w:eastAsia="仿宋_GB2312" w:cs="宋体"/>
          <w:i w:val="0"/>
          <w:iCs w:val="0"/>
          <w:caps w:val="0"/>
          <w:color w:val="333333"/>
          <w:spacing w:val="0"/>
          <w:sz w:val="32"/>
          <w:szCs w:val="24"/>
          <w:bdr w:val="none" w:color="auto" w:sz="0" w:space="0"/>
          <w:shd w:val="clear" w:fill="FFFFFF"/>
        </w:rPr>
        <w:t>　　以习近平新时代中国特色社会主义思想为指导，全面贯彻党的二十大精神，认真落实党中央、国务院关于“防范化解重大风险”“坚持把非诉讼纠纷解决机制挺在前面”的重要决策部署，深化拓展新时代“枫桥经验”在处理社会保险费征缴争议中的实践运用，牢固树立以服务缴费人为中心的理念，构建多方参与、多点联动、多元化解的工作格局，确保争议处理责任明晰、流程规范、渠道畅通、反馈及时。打破争议处理过程中的瓶颈，着力提高社会保险费征缴争议处理工作的规范化、标准化、专业化、协同化水平。快速回应缴费人关切，有效解决缴费人急难愁盼问题，维护缴费人合法权益。</w:t>
      </w:r>
    </w:p>
    <w:p w14:paraId="5122A99C">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黑体" w:hAnsi="黑体" w:eastAsia="黑体" w:cs="黑体"/>
          <w:color w:val="333333"/>
          <w:sz w:val="32"/>
          <w:szCs w:val="24"/>
        </w:rPr>
      </w:pPr>
      <w:r>
        <w:rPr>
          <w:rFonts w:hint="eastAsia" w:ascii="宋体" w:hAnsi="宋体" w:eastAsia="仿宋_GB2312" w:cs="宋体"/>
          <w:i w:val="0"/>
          <w:iCs w:val="0"/>
          <w:caps w:val="0"/>
          <w:color w:val="333333"/>
          <w:spacing w:val="0"/>
          <w:sz w:val="32"/>
          <w:szCs w:val="24"/>
          <w:bdr w:val="none" w:color="auto" w:sz="0" w:space="0"/>
          <w:shd w:val="clear" w:fill="FFFFFF"/>
        </w:rPr>
        <w:t>　　</w:t>
      </w:r>
      <w:r>
        <w:rPr>
          <w:rFonts w:hint="eastAsia" w:ascii="黑体" w:hAnsi="黑体" w:eastAsia="黑体" w:cs="黑体"/>
          <w:i w:val="0"/>
          <w:iCs w:val="0"/>
          <w:caps w:val="0"/>
          <w:color w:val="333333"/>
          <w:spacing w:val="0"/>
          <w:sz w:val="32"/>
          <w:szCs w:val="24"/>
          <w:bdr w:val="none" w:color="auto" w:sz="0" w:space="0"/>
          <w:shd w:val="clear" w:fill="FFFFFF"/>
        </w:rPr>
        <w:t>二、工作目标</w:t>
      </w:r>
    </w:p>
    <w:p w14:paraId="32886A0E">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宋体" w:hAnsi="宋体" w:eastAsia="仿宋_GB2312" w:cs="宋体"/>
          <w:color w:val="333333"/>
          <w:sz w:val="32"/>
          <w:szCs w:val="24"/>
        </w:rPr>
      </w:pPr>
      <w:r>
        <w:rPr>
          <w:rFonts w:hint="eastAsia" w:ascii="宋体" w:hAnsi="宋体" w:eastAsia="仿宋_GB2312" w:cs="宋体"/>
          <w:i w:val="0"/>
          <w:iCs w:val="0"/>
          <w:caps w:val="0"/>
          <w:color w:val="333333"/>
          <w:spacing w:val="0"/>
          <w:sz w:val="32"/>
          <w:szCs w:val="24"/>
          <w:bdr w:val="none" w:color="auto" w:sz="0" w:space="0"/>
          <w:shd w:val="clear" w:fill="FFFFFF"/>
        </w:rPr>
        <w:t>　　建立“政府主导、左右贯通、上下联通、多元化解”的社会保险费征缴联合服务和争议处理机制，并纳入地方综合治理体系。加强部门协作，明晰部门职责，打破部门壁垒，推动人民调解、司法调解和行政调解的灵活联动，拓展“税务+N”朋友圈，着力解决社会保险费征缴争议处理中的难点、堵点问题。建立完善征缴争议预防、监测、处理全链条管理流程，健全社会保险信息共享及风险分析预警机制。畅通缴费人表达诉求和争议受理渠道，为缴费人提供便民高效服务。</w:t>
      </w:r>
    </w:p>
    <w:p w14:paraId="4ED8261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黑体" w:hAnsi="黑体" w:eastAsia="黑体" w:cs="黑体"/>
          <w:color w:val="333333"/>
          <w:sz w:val="32"/>
          <w:szCs w:val="24"/>
        </w:rPr>
      </w:pPr>
      <w:r>
        <w:rPr>
          <w:rFonts w:hint="eastAsia" w:ascii="宋体" w:hAnsi="宋体" w:eastAsia="仿宋_GB2312" w:cs="宋体"/>
          <w:i w:val="0"/>
          <w:iCs w:val="0"/>
          <w:caps w:val="0"/>
          <w:color w:val="333333"/>
          <w:spacing w:val="0"/>
          <w:sz w:val="32"/>
          <w:szCs w:val="24"/>
          <w:bdr w:val="none" w:color="auto" w:sz="0" w:space="0"/>
          <w:shd w:val="clear" w:fill="FFFFFF"/>
        </w:rPr>
        <w:t>　</w:t>
      </w:r>
      <w:r>
        <w:rPr>
          <w:rFonts w:hint="eastAsia" w:ascii="黑体" w:hAnsi="黑体" w:eastAsia="黑体" w:cs="黑体"/>
          <w:i w:val="0"/>
          <w:iCs w:val="0"/>
          <w:caps w:val="0"/>
          <w:color w:val="333333"/>
          <w:spacing w:val="0"/>
          <w:sz w:val="32"/>
          <w:szCs w:val="24"/>
          <w:bdr w:val="none" w:color="auto" w:sz="0" w:space="0"/>
          <w:shd w:val="clear" w:fill="FFFFFF"/>
        </w:rPr>
        <w:t>　三、工作原则</w:t>
      </w:r>
    </w:p>
    <w:p w14:paraId="1CBBA00D">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宋体" w:hAnsi="宋体" w:eastAsia="仿宋_GB2312" w:cs="宋体"/>
          <w:color w:val="333333"/>
          <w:sz w:val="32"/>
          <w:szCs w:val="24"/>
        </w:rPr>
      </w:pPr>
      <w:r>
        <w:rPr>
          <w:rFonts w:hint="eastAsia" w:ascii="宋体" w:hAnsi="宋体" w:eastAsia="仿宋_GB2312" w:cs="宋体"/>
          <w:i w:val="0"/>
          <w:iCs w:val="0"/>
          <w:caps w:val="0"/>
          <w:color w:val="333333"/>
          <w:spacing w:val="0"/>
          <w:sz w:val="32"/>
          <w:szCs w:val="24"/>
          <w:bdr w:val="none" w:color="auto" w:sz="0" w:space="0"/>
          <w:shd w:val="clear" w:fill="FFFFFF"/>
        </w:rPr>
        <w:t>　　（一）坚持党建引领、人民至上。切实推进党业融合，打通党建与社保业务、民生实事、基层治理融合通道，把以人民为中心的理念贯穿征缴争议处理全过程，明职责、强担当、严征缴、提质效，不断提升缴费人获得感和满意度。</w:t>
      </w:r>
    </w:p>
    <w:p w14:paraId="2416ADE1">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宋体" w:hAnsi="宋体" w:eastAsia="仿宋_GB2312" w:cs="宋体"/>
          <w:color w:val="333333"/>
          <w:sz w:val="32"/>
          <w:szCs w:val="24"/>
        </w:rPr>
      </w:pPr>
      <w:r>
        <w:rPr>
          <w:rFonts w:hint="eastAsia" w:ascii="宋体" w:hAnsi="宋体" w:eastAsia="仿宋_GB2312" w:cs="宋体"/>
          <w:i w:val="0"/>
          <w:iCs w:val="0"/>
          <w:caps w:val="0"/>
          <w:color w:val="333333"/>
          <w:spacing w:val="0"/>
          <w:sz w:val="32"/>
          <w:szCs w:val="24"/>
          <w:bdr w:val="none" w:color="auto" w:sz="0" w:space="0"/>
          <w:shd w:val="clear" w:fill="FFFFFF"/>
        </w:rPr>
        <w:t>　　（二）坚持源头治理、便民高效。强化社会保险费征缴争议预防和监测，压实属地责任，最大限度地把争议化解在萌芽状态，解决在基层。畅通争议受理渠道，推动争议“一站式”受理、“一揽子”处理、“全链条”解决，切实降低缴费人维权成本。</w:t>
      </w:r>
    </w:p>
    <w:p w14:paraId="39FF4AAB">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宋体" w:hAnsi="宋体" w:eastAsia="仿宋_GB2312" w:cs="宋体"/>
          <w:color w:val="333333"/>
          <w:sz w:val="32"/>
          <w:szCs w:val="24"/>
        </w:rPr>
      </w:pPr>
      <w:r>
        <w:rPr>
          <w:rFonts w:hint="eastAsia" w:ascii="宋体" w:hAnsi="宋体" w:eastAsia="仿宋_GB2312" w:cs="宋体"/>
          <w:i w:val="0"/>
          <w:iCs w:val="0"/>
          <w:caps w:val="0"/>
          <w:color w:val="333333"/>
          <w:spacing w:val="0"/>
          <w:sz w:val="32"/>
          <w:szCs w:val="24"/>
          <w:bdr w:val="none" w:color="auto" w:sz="0" w:space="0"/>
          <w:shd w:val="clear" w:fill="FFFFFF"/>
        </w:rPr>
        <w:t>　　（三）坚持依法依规、公平公正。坚持依法依规处理争议，做到执法主体准确、执法程序规范、执法过程公正、执法结果可考。坚持原则性与灵活性相统一，科学运用和解、调解等柔性手段，审慎稳妥推动争议“案结、事了、人和”，提高争议处理质效。</w:t>
      </w:r>
    </w:p>
    <w:p w14:paraId="0013759D">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黑体" w:hAnsi="黑体" w:eastAsia="黑体" w:cs="黑体"/>
          <w:color w:val="333333"/>
          <w:sz w:val="32"/>
          <w:szCs w:val="24"/>
        </w:rPr>
      </w:pPr>
      <w:r>
        <w:rPr>
          <w:rFonts w:hint="eastAsia" w:ascii="宋体" w:hAnsi="宋体" w:eastAsia="仿宋_GB2312" w:cs="宋体"/>
          <w:i w:val="0"/>
          <w:iCs w:val="0"/>
          <w:caps w:val="0"/>
          <w:color w:val="333333"/>
          <w:spacing w:val="0"/>
          <w:sz w:val="32"/>
          <w:szCs w:val="24"/>
          <w:bdr w:val="none" w:color="auto" w:sz="0" w:space="0"/>
          <w:shd w:val="clear" w:fill="FFFFFF"/>
        </w:rPr>
        <w:t>　</w:t>
      </w:r>
      <w:r>
        <w:rPr>
          <w:rFonts w:hint="eastAsia" w:ascii="黑体" w:hAnsi="黑体" w:eastAsia="黑体" w:cs="黑体"/>
          <w:i w:val="0"/>
          <w:iCs w:val="0"/>
          <w:caps w:val="0"/>
          <w:color w:val="333333"/>
          <w:spacing w:val="0"/>
          <w:sz w:val="32"/>
          <w:szCs w:val="24"/>
          <w:bdr w:val="none" w:color="auto" w:sz="0" w:space="0"/>
          <w:shd w:val="clear" w:fill="FFFFFF"/>
        </w:rPr>
        <w:t>　四、组织领导</w:t>
      </w:r>
    </w:p>
    <w:p w14:paraId="1557C05C">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宋体" w:hAnsi="宋体" w:eastAsia="仿宋_GB2312" w:cs="宋体"/>
          <w:color w:val="333333"/>
          <w:sz w:val="32"/>
          <w:szCs w:val="24"/>
        </w:rPr>
      </w:pPr>
      <w:r>
        <w:rPr>
          <w:rFonts w:hint="eastAsia" w:ascii="宋体" w:hAnsi="宋体" w:eastAsia="仿宋_GB2312" w:cs="宋体"/>
          <w:i w:val="0"/>
          <w:iCs w:val="0"/>
          <w:caps w:val="0"/>
          <w:color w:val="333333"/>
          <w:spacing w:val="0"/>
          <w:sz w:val="32"/>
          <w:szCs w:val="24"/>
          <w:bdr w:val="none" w:color="auto" w:sz="0" w:space="0"/>
          <w:shd w:val="clear" w:fill="FFFFFF"/>
        </w:rPr>
        <w:t>　　由湘潭县税务局牵头建立湘潭县社会保险费征缴协同共治联合服务机制（以下简称“联合服务机制”），成员单位为县税务局、县人民法院、县司法局、县财政局、县人社局、县信访局、县医保局等部门。下设社会保险费征缴争议处置服务中心（以下简称“争议处置服务中心”），办公地点在政务服务中心办税服务大厅，成员由县税务局社保费与非税收入股、县社保中心（含工伤、失业）、县医保中心和县人民法院、县司法局、县财政局、县信访局相关部门的主要负责人和相关人员组成。主要职责是对受理争议事项进行集中一站联办，涉及多部门的依职责、按流程进行流转处理；建立健全受理登记、告知引导、调解办理、回访反馈、档案管理等制度；对跨区域、问题复杂、舆情隐患较大的争议，通过召开联席会议会商、调度、研究解决和提级管理。</w:t>
      </w:r>
    </w:p>
    <w:p w14:paraId="50951386">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黑体" w:hAnsi="黑体" w:eastAsia="黑体" w:cs="黑体"/>
          <w:color w:val="333333"/>
          <w:sz w:val="32"/>
          <w:szCs w:val="24"/>
        </w:rPr>
      </w:pPr>
      <w:r>
        <w:rPr>
          <w:rFonts w:hint="eastAsia" w:ascii="黑体" w:hAnsi="黑体" w:eastAsia="黑体" w:cs="黑体"/>
          <w:i w:val="0"/>
          <w:iCs w:val="0"/>
          <w:caps w:val="0"/>
          <w:color w:val="333333"/>
          <w:spacing w:val="0"/>
          <w:sz w:val="32"/>
          <w:szCs w:val="24"/>
          <w:bdr w:val="none" w:color="auto" w:sz="0" w:space="0"/>
          <w:shd w:val="clear" w:fill="FFFFFF"/>
        </w:rPr>
        <w:t>　　五、部门职责</w:t>
      </w:r>
    </w:p>
    <w:p w14:paraId="2568F0B2">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宋体" w:hAnsi="宋体" w:eastAsia="仿宋_GB2312" w:cs="宋体"/>
          <w:color w:val="333333"/>
          <w:sz w:val="32"/>
          <w:szCs w:val="24"/>
        </w:rPr>
      </w:pPr>
      <w:r>
        <w:rPr>
          <w:rFonts w:hint="eastAsia" w:ascii="宋体" w:hAnsi="宋体" w:eastAsia="仿宋_GB2312" w:cs="宋体"/>
          <w:i w:val="0"/>
          <w:iCs w:val="0"/>
          <w:caps w:val="0"/>
          <w:color w:val="333333"/>
          <w:spacing w:val="0"/>
          <w:sz w:val="32"/>
          <w:szCs w:val="24"/>
          <w:bdr w:val="none" w:color="auto" w:sz="0" w:space="0"/>
          <w:shd w:val="clear" w:fill="FFFFFF"/>
        </w:rPr>
        <w:t>　　税务部门：负责牵头抓好社会保险费征缴争议处理统筹、协调工作，牵头组织征缴争议、欠费争议的联合约谈、调处；落实欠费追缴、检查处罚等法定职责。</w:t>
      </w:r>
    </w:p>
    <w:p w14:paraId="6E7F5D98">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宋体" w:hAnsi="宋体" w:eastAsia="仿宋_GB2312" w:cs="宋体"/>
          <w:color w:val="333333"/>
          <w:sz w:val="32"/>
          <w:szCs w:val="24"/>
        </w:rPr>
      </w:pPr>
      <w:r>
        <w:rPr>
          <w:rFonts w:hint="eastAsia" w:ascii="宋体" w:hAnsi="宋体" w:eastAsia="仿宋_GB2312" w:cs="宋体"/>
          <w:i w:val="0"/>
          <w:iCs w:val="0"/>
          <w:caps w:val="0"/>
          <w:color w:val="333333"/>
          <w:spacing w:val="0"/>
          <w:sz w:val="32"/>
          <w:szCs w:val="24"/>
          <w:bdr w:val="none" w:color="auto" w:sz="0" w:space="0"/>
          <w:shd w:val="clear" w:fill="FFFFFF"/>
        </w:rPr>
        <w:t>　　人社部门：负责划转前的欠费追缴和基数核定，并将征缴信息推送至税务部门；参与重大争议的联合约谈、调处；处理养老保险、工伤保险、失业保险的参保登记、权益记录、待遇保障等方面的争议。</w:t>
      </w:r>
    </w:p>
    <w:p w14:paraId="5AFDFEFD">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atLeast"/>
        <w:ind w:left="0" w:right="0"/>
        <w:jc w:val="both"/>
        <w:textAlignment w:val="auto"/>
        <w:rPr>
          <w:rFonts w:hint="eastAsia" w:ascii="宋体" w:hAnsi="宋体" w:eastAsia="仿宋_GB2312" w:cs="宋体"/>
          <w:color w:val="333333"/>
          <w:sz w:val="32"/>
          <w:szCs w:val="24"/>
        </w:rPr>
      </w:pPr>
      <w:r>
        <w:rPr>
          <w:rFonts w:hint="eastAsia" w:ascii="宋体" w:hAnsi="宋体" w:eastAsia="仿宋_GB2312" w:cs="宋体"/>
          <w:i w:val="0"/>
          <w:iCs w:val="0"/>
          <w:caps w:val="0"/>
          <w:color w:val="333333"/>
          <w:spacing w:val="0"/>
          <w:sz w:val="32"/>
          <w:szCs w:val="24"/>
          <w:bdr w:val="none" w:color="auto" w:sz="0" w:space="0"/>
          <w:shd w:val="clear" w:fill="FFFFFF"/>
        </w:rPr>
        <w:t>　　医保部门：负责划转前的欠费核定，并将征缴信息推送至税务部门；参与职责范围内征缴争议的联合约谈、调处；处理医疗保险、长护险等险种的参保登记、权益记录、待遇保障等方面的争议。</w:t>
      </w:r>
    </w:p>
    <w:p w14:paraId="1AA65163">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atLeast"/>
        <w:ind w:left="0" w:right="0"/>
        <w:jc w:val="both"/>
        <w:textAlignment w:val="auto"/>
        <w:rPr>
          <w:rFonts w:hint="eastAsia" w:ascii="宋体" w:hAnsi="宋体" w:eastAsia="仿宋_GB2312" w:cs="宋体"/>
          <w:color w:val="333333"/>
          <w:sz w:val="32"/>
          <w:szCs w:val="24"/>
        </w:rPr>
      </w:pPr>
      <w:r>
        <w:rPr>
          <w:rFonts w:hint="eastAsia" w:ascii="宋体" w:hAnsi="宋体" w:eastAsia="仿宋_GB2312" w:cs="宋体"/>
          <w:i w:val="0"/>
          <w:iCs w:val="0"/>
          <w:caps w:val="0"/>
          <w:color w:val="333333"/>
          <w:spacing w:val="0"/>
          <w:sz w:val="32"/>
          <w:szCs w:val="24"/>
          <w:bdr w:val="none" w:color="auto" w:sz="0" w:space="0"/>
          <w:shd w:val="clear" w:fill="FFFFFF"/>
        </w:rPr>
        <w:t>　　财政部门：协助处理社会保险费欠费争议。</w:t>
      </w:r>
    </w:p>
    <w:p w14:paraId="7B4444D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atLeast"/>
        <w:ind w:left="0" w:right="0"/>
        <w:jc w:val="both"/>
        <w:textAlignment w:val="auto"/>
        <w:rPr>
          <w:rFonts w:hint="eastAsia" w:ascii="宋体" w:hAnsi="宋体" w:eastAsia="仿宋_GB2312" w:cs="宋体"/>
          <w:color w:val="333333"/>
          <w:sz w:val="32"/>
          <w:szCs w:val="24"/>
        </w:rPr>
      </w:pPr>
      <w:r>
        <w:rPr>
          <w:rFonts w:hint="eastAsia" w:ascii="宋体" w:hAnsi="宋体" w:eastAsia="仿宋_GB2312" w:cs="宋体"/>
          <w:i w:val="0"/>
          <w:iCs w:val="0"/>
          <w:caps w:val="0"/>
          <w:color w:val="333333"/>
          <w:spacing w:val="0"/>
          <w:sz w:val="32"/>
          <w:szCs w:val="24"/>
          <w:bdr w:val="none" w:color="auto" w:sz="0" w:space="0"/>
          <w:shd w:val="clear" w:fill="FFFFFF"/>
        </w:rPr>
        <w:t>　　人民法院：加强社会保险费征缴争议处理非诉讼与复议、诉讼等渠道有机衔接；协助处理征缴争议、欠费争议；重点负责争议处理中的强制执行、司法确认等。</w:t>
      </w:r>
    </w:p>
    <w:p w14:paraId="0AF899E2">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atLeast"/>
        <w:ind w:left="0" w:right="0"/>
        <w:jc w:val="both"/>
        <w:textAlignment w:val="auto"/>
        <w:rPr>
          <w:rFonts w:hint="eastAsia" w:ascii="宋体" w:hAnsi="宋体" w:eastAsia="仿宋_GB2312" w:cs="宋体"/>
          <w:color w:val="333333"/>
          <w:sz w:val="32"/>
          <w:szCs w:val="24"/>
        </w:rPr>
      </w:pPr>
      <w:r>
        <w:rPr>
          <w:rFonts w:hint="eastAsia" w:ascii="宋体" w:hAnsi="宋体" w:eastAsia="仿宋_GB2312" w:cs="宋体"/>
          <w:i w:val="0"/>
          <w:iCs w:val="0"/>
          <w:caps w:val="0"/>
          <w:color w:val="333333"/>
          <w:spacing w:val="0"/>
          <w:sz w:val="32"/>
          <w:szCs w:val="24"/>
          <w:bdr w:val="none" w:color="auto" w:sz="0" w:space="0"/>
          <w:shd w:val="clear" w:fill="FFFFFF"/>
        </w:rPr>
        <w:t>　　司法行政部门：指导、推动社会保险费征缴争议人民调解工作规范化建设；加强人民调解与司法调解、行政调解的对接联动；组织推动法律专家、律师、法律服务工作者参与征缴争议调处。</w:t>
      </w:r>
    </w:p>
    <w:p w14:paraId="590E482E">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atLeast"/>
        <w:ind w:left="0" w:right="0"/>
        <w:jc w:val="both"/>
        <w:textAlignment w:val="auto"/>
        <w:rPr>
          <w:rFonts w:hint="eastAsia" w:ascii="宋体" w:hAnsi="宋体" w:eastAsia="仿宋_GB2312" w:cs="宋体"/>
          <w:color w:val="333333"/>
          <w:sz w:val="32"/>
          <w:szCs w:val="24"/>
        </w:rPr>
      </w:pPr>
      <w:r>
        <w:rPr>
          <w:rFonts w:hint="eastAsia" w:ascii="宋体" w:hAnsi="宋体" w:eastAsia="仿宋_GB2312" w:cs="宋体"/>
          <w:i w:val="0"/>
          <w:iCs w:val="0"/>
          <w:caps w:val="0"/>
          <w:color w:val="333333"/>
          <w:spacing w:val="0"/>
          <w:sz w:val="32"/>
          <w:szCs w:val="24"/>
          <w:bdr w:val="none" w:color="auto" w:sz="0" w:space="0"/>
          <w:shd w:val="clear" w:fill="FFFFFF"/>
        </w:rPr>
        <w:t>　　信访部门：受理、转送、交办、督办社会保险费争议信访事项；加强对争议投诉举报和信访案件处理工作的指导和督促检查；协调处理社会保险费领域的非正常信访，维护信访秩序，防范群体性事件。</w:t>
      </w:r>
    </w:p>
    <w:p w14:paraId="73DF4801">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atLeast"/>
        <w:ind w:left="0" w:right="0"/>
        <w:jc w:val="both"/>
        <w:textAlignment w:val="auto"/>
        <w:rPr>
          <w:rFonts w:hint="eastAsia" w:ascii="黑体" w:hAnsi="黑体" w:eastAsia="黑体" w:cs="黑体"/>
          <w:color w:val="333333"/>
          <w:sz w:val="32"/>
          <w:szCs w:val="24"/>
        </w:rPr>
      </w:pPr>
      <w:r>
        <w:rPr>
          <w:rFonts w:hint="eastAsia" w:ascii="黑体" w:hAnsi="黑体" w:eastAsia="黑体" w:cs="黑体"/>
          <w:i w:val="0"/>
          <w:iCs w:val="0"/>
          <w:caps w:val="0"/>
          <w:color w:val="333333"/>
          <w:spacing w:val="0"/>
          <w:sz w:val="32"/>
          <w:szCs w:val="24"/>
          <w:bdr w:val="none" w:color="auto" w:sz="0" w:space="0"/>
          <w:shd w:val="clear" w:fill="FFFFFF"/>
        </w:rPr>
        <w:t>　　六、工作机制</w:t>
      </w:r>
    </w:p>
    <w:p w14:paraId="7D28898A">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atLeast"/>
        <w:ind w:left="0" w:right="0"/>
        <w:jc w:val="both"/>
        <w:textAlignment w:val="auto"/>
        <w:rPr>
          <w:rFonts w:hint="eastAsia" w:ascii="宋体" w:hAnsi="宋体" w:eastAsia="仿宋_GB2312" w:cs="宋体"/>
          <w:color w:val="333333"/>
          <w:sz w:val="32"/>
          <w:szCs w:val="24"/>
        </w:rPr>
      </w:pPr>
      <w:r>
        <w:rPr>
          <w:rFonts w:hint="eastAsia" w:ascii="宋体" w:hAnsi="宋体" w:eastAsia="仿宋_GB2312" w:cs="宋体"/>
          <w:i w:val="0"/>
          <w:iCs w:val="0"/>
          <w:caps w:val="0"/>
          <w:color w:val="333333"/>
          <w:spacing w:val="0"/>
          <w:sz w:val="32"/>
          <w:szCs w:val="24"/>
          <w:bdr w:val="none" w:color="auto" w:sz="0" w:space="0"/>
          <w:shd w:val="clear" w:fill="FFFFFF"/>
        </w:rPr>
        <w:t>　　为确保社会保险费征缴协同共治联合服务工作落地落实、形成合力、构建闭环，建立以下工作机制：</w:t>
      </w:r>
    </w:p>
    <w:p w14:paraId="38C54BEC">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atLeast"/>
        <w:ind w:left="0" w:right="0"/>
        <w:jc w:val="both"/>
        <w:textAlignment w:val="auto"/>
        <w:rPr>
          <w:rFonts w:hint="eastAsia" w:ascii="宋体" w:hAnsi="宋体" w:eastAsia="仿宋_GB2312" w:cs="宋体"/>
          <w:color w:val="333333"/>
          <w:sz w:val="32"/>
          <w:szCs w:val="24"/>
        </w:rPr>
      </w:pPr>
      <w:r>
        <w:rPr>
          <w:rFonts w:hint="eastAsia" w:ascii="宋体" w:hAnsi="宋体" w:eastAsia="仿宋_GB2312" w:cs="宋体"/>
          <w:i w:val="0"/>
          <w:iCs w:val="0"/>
          <w:caps w:val="0"/>
          <w:color w:val="333333"/>
          <w:spacing w:val="0"/>
          <w:sz w:val="32"/>
          <w:szCs w:val="24"/>
          <w:bdr w:val="none" w:color="auto" w:sz="0" w:space="0"/>
          <w:shd w:val="clear" w:fill="FFFFFF"/>
        </w:rPr>
        <w:t>　　（一）联席会议机制。定期召开联席会议，原则上每季度一次，研究分析社会保险费征缴服务和争议处理工作中面临的新形势和新问题，对部门协作、流程规范、执法风险、舆情防控等重要问题进行会商解决。对跨部门、问题复杂、具有较大舆情风险的争议和须提级联合服务中心处理的高风险争议，可临时召集召开联席会议“一事一议”。</w:t>
      </w:r>
    </w:p>
    <w:p w14:paraId="1858AF8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宋体" w:hAnsi="宋体" w:eastAsia="仿宋_GB2312" w:cs="宋体"/>
          <w:color w:val="333333"/>
          <w:sz w:val="32"/>
          <w:szCs w:val="24"/>
        </w:rPr>
      </w:pPr>
      <w:r>
        <w:rPr>
          <w:rFonts w:hint="eastAsia" w:ascii="宋体" w:hAnsi="宋体" w:eastAsia="仿宋_GB2312" w:cs="宋体"/>
          <w:i w:val="0"/>
          <w:iCs w:val="0"/>
          <w:caps w:val="0"/>
          <w:color w:val="333333"/>
          <w:spacing w:val="0"/>
          <w:sz w:val="32"/>
          <w:szCs w:val="24"/>
          <w:bdr w:val="none" w:color="auto" w:sz="0" w:space="0"/>
          <w:shd w:val="clear" w:fill="FFFFFF"/>
        </w:rPr>
        <w:t>　　（二）多元化解机制。充分依托县政务服务中心、税务办税服务大厅、人社业务服务厅和医保业务服务厅等工作场所，联合成立争议处置服务中心，对外挂牌实体运作，按照“诉求一站受理、处置分级分类、问题闭环解决”的要求处理。同时，各税务分局（所）要主动对接当地便民服务中心、矛盾调解中心、仲裁中心等将争议处理下沉到乡镇、村、社区，实施网格化联合处理，构建“公职律师+人民调解员+志愿者”模式，灵活运用“三方调解”途径，将矛盾纠纷快速化解在前端，提高争议处理质效。</w:t>
      </w:r>
    </w:p>
    <w:p w14:paraId="3E8AC98B">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宋体" w:hAnsi="宋体" w:eastAsia="仿宋_GB2312" w:cs="宋体"/>
          <w:color w:val="333333"/>
          <w:sz w:val="32"/>
          <w:szCs w:val="24"/>
        </w:rPr>
      </w:pPr>
      <w:r>
        <w:rPr>
          <w:rFonts w:hint="eastAsia" w:ascii="宋体" w:hAnsi="宋体" w:eastAsia="仿宋_GB2312" w:cs="宋体"/>
          <w:i w:val="0"/>
          <w:iCs w:val="0"/>
          <w:caps w:val="0"/>
          <w:color w:val="333333"/>
          <w:spacing w:val="0"/>
          <w:sz w:val="32"/>
          <w:szCs w:val="24"/>
          <w:bdr w:val="none" w:color="auto" w:sz="0" w:space="0"/>
          <w:shd w:val="clear" w:fill="FFFFFF"/>
        </w:rPr>
        <w:t>　　（三）流转交办机制。全面推行社会保险费征缴争议处理“首问责任制”，第一个接待受理争议的部门或人员必须负责落实受理、登记、分类、流转等工作，对涉及其他部门职责范围的争议，应及时流转交办相关部门，并主动告知缴费人处理流程，做好解释工作。争议交办后，承接部门负责后续争议的处理及答复，并将处理结果反馈至争议处置服务中心，统一进行台账管理。</w:t>
      </w:r>
    </w:p>
    <w:p w14:paraId="68556E25">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宋体" w:hAnsi="宋体" w:eastAsia="仿宋_GB2312" w:cs="宋体"/>
          <w:color w:val="333333"/>
          <w:sz w:val="32"/>
          <w:szCs w:val="24"/>
        </w:rPr>
      </w:pPr>
      <w:r>
        <w:rPr>
          <w:rFonts w:hint="eastAsia" w:ascii="宋体" w:hAnsi="宋体" w:eastAsia="仿宋_GB2312" w:cs="宋体"/>
          <w:i w:val="0"/>
          <w:iCs w:val="0"/>
          <w:caps w:val="0"/>
          <w:color w:val="333333"/>
          <w:spacing w:val="0"/>
          <w:sz w:val="32"/>
          <w:szCs w:val="24"/>
          <w:bdr w:val="none" w:color="auto" w:sz="0" w:space="0"/>
          <w:shd w:val="clear" w:fill="FFFFFF"/>
        </w:rPr>
        <w:t>　　（四）督导研判机制。建立社会保险费争议处理反馈渠道，对已处理的争议问题，定期进行督导回访，确保争议得到有效解决。常态化对争议的发生原因、业务类型等情况进行排查梳理、分析研判，及时发现、评估和防范征缴风险，预测争议发展趋势，从源头减少争议发生。同时做好全县争议处理案件归档工作，对典型性、示范性、判例性的争议案件进行整理，建立争议典型案例库，总结经验，提升质效。</w:t>
      </w:r>
    </w:p>
    <w:p w14:paraId="1C26C23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宋体" w:hAnsi="宋体" w:eastAsia="仿宋_GB2312" w:cs="宋体"/>
          <w:color w:val="333333"/>
          <w:sz w:val="32"/>
          <w:szCs w:val="24"/>
        </w:rPr>
      </w:pPr>
      <w:r>
        <w:rPr>
          <w:rFonts w:hint="eastAsia" w:ascii="宋体" w:hAnsi="宋体" w:eastAsia="仿宋_GB2312" w:cs="宋体"/>
          <w:i w:val="0"/>
          <w:iCs w:val="0"/>
          <w:caps w:val="0"/>
          <w:color w:val="333333"/>
          <w:spacing w:val="0"/>
          <w:sz w:val="32"/>
          <w:szCs w:val="24"/>
          <w:bdr w:val="none" w:color="auto" w:sz="0" w:space="0"/>
          <w:shd w:val="clear" w:fill="FFFFFF"/>
        </w:rPr>
        <w:t>　　（五）调研学习机制。各部门充分发挥业务优势和专业能力，联合开展案例分析、专题研讨、互邀专家讲课，组织“同堂培训”，在业务互融互通的基础上抓好“人才共育、队伍共建”，共同提升干部的业务素质和实践能力。</w:t>
      </w:r>
    </w:p>
    <w:p w14:paraId="17D89679">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黑体" w:hAnsi="黑体" w:eastAsia="黑体" w:cs="黑体"/>
          <w:color w:val="333333"/>
          <w:sz w:val="32"/>
          <w:szCs w:val="24"/>
        </w:rPr>
      </w:pPr>
      <w:r>
        <w:rPr>
          <w:rFonts w:hint="eastAsia" w:ascii="黑体" w:hAnsi="黑体" w:eastAsia="黑体" w:cs="黑体"/>
          <w:i w:val="0"/>
          <w:iCs w:val="0"/>
          <w:caps w:val="0"/>
          <w:color w:val="333333"/>
          <w:spacing w:val="0"/>
          <w:sz w:val="32"/>
          <w:szCs w:val="24"/>
          <w:bdr w:val="none" w:color="auto" w:sz="0" w:space="0"/>
          <w:shd w:val="clear" w:fill="FFFFFF"/>
        </w:rPr>
        <w:t>　　七、争议处理</w:t>
      </w:r>
    </w:p>
    <w:p w14:paraId="5579CE9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宋体" w:hAnsi="宋体" w:eastAsia="仿宋_GB2312" w:cs="宋体"/>
          <w:color w:val="333333"/>
          <w:sz w:val="32"/>
          <w:szCs w:val="24"/>
        </w:rPr>
      </w:pPr>
      <w:r>
        <w:rPr>
          <w:rFonts w:hint="eastAsia" w:ascii="宋体" w:hAnsi="宋体" w:eastAsia="仿宋_GB2312" w:cs="宋体"/>
          <w:i w:val="0"/>
          <w:iCs w:val="0"/>
          <w:caps w:val="0"/>
          <w:color w:val="333333"/>
          <w:spacing w:val="0"/>
          <w:sz w:val="32"/>
          <w:szCs w:val="24"/>
          <w:bdr w:val="none" w:color="auto" w:sz="0" w:space="0"/>
          <w:shd w:val="clear" w:fill="FFFFFF"/>
        </w:rPr>
        <w:t>　　争议处置服务中心在处理社会保险费征缴争议时要建立健全“一站受理-精准流转-调查处理-结果反馈-跟踪回访-综合分析”的工作闭环，要坚持以人民为中心，以法律为准绳，以事实为依据，主动担当、积极履职、协同发力，充分运用辅导教育、沟通调解、约谈警示等非强制性方式，坚持柔性引导与刚性执法相结合，依法依规、积极稳妥处理好征缴争议。</w:t>
      </w:r>
    </w:p>
    <w:p w14:paraId="2422C5E1">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宋体" w:hAnsi="宋体" w:eastAsia="仿宋_GB2312" w:cs="宋体"/>
          <w:color w:val="333333"/>
          <w:sz w:val="32"/>
          <w:szCs w:val="24"/>
        </w:rPr>
      </w:pPr>
      <w:r>
        <w:rPr>
          <w:rFonts w:hint="eastAsia" w:ascii="宋体" w:hAnsi="宋体" w:eastAsia="仿宋_GB2312" w:cs="宋体"/>
          <w:i w:val="0"/>
          <w:iCs w:val="0"/>
          <w:caps w:val="0"/>
          <w:color w:val="333333"/>
          <w:spacing w:val="0"/>
          <w:sz w:val="32"/>
          <w:szCs w:val="24"/>
          <w:bdr w:val="none" w:color="auto" w:sz="0" w:space="0"/>
          <w:shd w:val="clear" w:fill="FFFFFF"/>
        </w:rPr>
        <w:t>　　（一）分级管理。根据争议诉求、性质、舆情风险等因素，将争议分为简易争议、一般争议和高风险争议三级别。各部门应根据争议级别，实施分级管理，提高处理效率。简易争议：可现场办结、问题简单、矛盾明晰的简易争议，可由争议处置服务中心前端化解。争议处置服务中心接诉后由首问责任人员填写《湘潭县社会保险费征缴争议受理登记表》（附件1），后续召集当事人在中心进行“一站式”调解，调解达成后双方签订调解协议并进行存档备查。一般争议：无法现场调解办结、涉及跨部门职责的一般争议，由首问责任人员受理登记后填写《湘潭县社会保险费征缴争议交办单》（附件2），精准流转至相关职能部门处理，职能部门处理后及时向缴费人和中心反馈处理结果。同时争议处置服务中心须登记《湘潭县社会保险费征缴争议处理工作台账》（附件3），并将相关资料留存备查。涉及多部门职责的，由争议处置服务中心统筹各部门联合处理。高风险争议：争议处置服务中心受理的问题复杂、跨区域、有较大舆情风险的高风险争议，应及时向市联合服务中心反馈并申请提级处理，召开联席会议“一案一议”商议处理方案，必要时可成立联合调解团，最大力度确保调解实效，向争议双方进行反馈。</w:t>
      </w:r>
    </w:p>
    <w:p w14:paraId="2AC46D6B">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宋体" w:hAnsi="宋体" w:eastAsia="仿宋_GB2312" w:cs="宋体"/>
          <w:color w:val="333333"/>
          <w:sz w:val="32"/>
          <w:szCs w:val="24"/>
        </w:rPr>
      </w:pPr>
      <w:r>
        <w:rPr>
          <w:rFonts w:hint="eastAsia" w:ascii="宋体" w:hAnsi="宋体" w:eastAsia="仿宋_GB2312" w:cs="宋体"/>
          <w:i w:val="0"/>
          <w:iCs w:val="0"/>
          <w:caps w:val="0"/>
          <w:color w:val="333333"/>
          <w:spacing w:val="0"/>
          <w:sz w:val="32"/>
          <w:szCs w:val="24"/>
          <w:bdr w:val="none" w:color="auto" w:sz="0" w:space="0"/>
          <w:shd w:val="clear" w:fill="FFFFFF"/>
        </w:rPr>
        <w:t>　　（二）分类管理。社会保险费征缴争议根据业务类型可分为参保登记类、申报缴费类、欠费追缴类、权益待遇类和其他类，由各部门依职能实施分类管理。</w:t>
      </w:r>
    </w:p>
    <w:p w14:paraId="4FE9B48A">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宋体" w:hAnsi="宋体" w:eastAsia="仿宋_GB2312" w:cs="宋体"/>
          <w:color w:val="333333"/>
          <w:sz w:val="32"/>
          <w:szCs w:val="24"/>
        </w:rPr>
      </w:pPr>
      <w:r>
        <w:rPr>
          <w:rFonts w:hint="eastAsia" w:ascii="宋体" w:hAnsi="宋体" w:eastAsia="仿宋_GB2312" w:cs="宋体"/>
          <w:i w:val="0"/>
          <w:iCs w:val="0"/>
          <w:caps w:val="0"/>
          <w:color w:val="333333"/>
          <w:spacing w:val="0"/>
          <w:sz w:val="32"/>
          <w:szCs w:val="24"/>
          <w:bdr w:val="none" w:color="auto" w:sz="0" w:space="0"/>
          <w:shd w:val="clear" w:fill="FFFFFF"/>
        </w:rPr>
        <w:t>　　1.参保登记类：缴费人在参保登记过程中因应参未参、参保信息有误等问题产生的相关争议，由人社、医保部门进行处理。具体参照《湘潭县社会保险费征缴争议处置联合服务中心精准流转流程图》（附件4）流转办理。</w:t>
      </w:r>
    </w:p>
    <w:p w14:paraId="3FDAAD7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宋体" w:hAnsi="宋体" w:eastAsia="仿宋_GB2312" w:cs="宋体"/>
          <w:color w:val="333333"/>
          <w:sz w:val="32"/>
          <w:szCs w:val="24"/>
        </w:rPr>
      </w:pPr>
      <w:r>
        <w:rPr>
          <w:rFonts w:hint="eastAsia" w:ascii="宋体" w:hAnsi="宋体" w:eastAsia="仿宋_GB2312" w:cs="宋体"/>
          <w:i w:val="0"/>
          <w:iCs w:val="0"/>
          <w:caps w:val="0"/>
          <w:color w:val="333333"/>
          <w:spacing w:val="0"/>
          <w:sz w:val="32"/>
          <w:szCs w:val="24"/>
          <w:bdr w:val="none" w:color="auto" w:sz="0" w:space="0"/>
          <w:shd w:val="clear" w:fill="FFFFFF"/>
        </w:rPr>
        <w:t>　　2.欠费追缴类：该类争议一般为用人单位未按时足额为劳动者缴纳社会保险费，影响劳动者享受社保权益的争议。根据费款属期按三种情况分别处理，包括社会保险费划转前欠费、划转后欠费、跨越划转期欠费。</w:t>
      </w:r>
    </w:p>
    <w:p w14:paraId="51C0826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宋体" w:hAnsi="宋体" w:eastAsia="仿宋_GB2312" w:cs="宋体"/>
          <w:color w:val="333333"/>
          <w:sz w:val="32"/>
          <w:szCs w:val="24"/>
        </w:rPr>
      </w:pPr>
      <w:r>
        <w:rPr>
          <w:rFonts w:hint="eastAsia" w:ascii="宋体" w:hAnsi="宋体" w:eastAsia="仿宋_GB2312" w:cs="宋体"/>
          <w:i w:val="0"/>
          <w:iCs w:val="0"/>
          <w:caps w:val="0"/>
          <w:color w:val="333333"/>
          <w:spacing w:val="0"/>
          <w:sz w:val="32"/>
          <w:szCs w:val="24"/>
          <w:bdr w:val="none" w:color="auto" w:sz="0" w:space="0"/>
          <w:shd w:val="clear" w:fill="FFFFFF"/>
        </w:rPr>
        <w:t>　　第一种情形：社会保险费划转前欠费</w:t>
      </w:r>
    </w:p>
    <w:p w14:paraId="5F49FB6C">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宋体" w:hAnsi="宋体" w:eastAsia="仿宋_GB2312" w:cs="宋体"/>
          <w:color w:val="333333"/>
          <w:sz w:val="32"/>
          <w:szCs w:val="24"/>
        </w:rPr>
      </w:pPr>
      <w:r>
        <w:rPr>
          <w:rFonts w:hint="eastAsia" w:ascii="宋体" w:hAnsi="宋体" w:eastAsia="仿宋_GB2312" w:cs="宋体"/>
          <w:i w:val="0"/>
          <w:iCs w:val="0"/>
          <w:caps w:val="0"/>
          <w:color w:val="333333"/>
          <w:spacing w:val="0"/>
          <w:sz w:val="32"/>
          <w:szCs w:val="24"/>
          <w:bdr w:val="none" w:color="auto" w:sz="0" w:space="0"/>
          <w:shd w:val="clear" w:fill="FFFFFF"/>
        </w:rPr>
        <w:t>　　社会保险费划转前的欠费争议，由人社、医保部门进行处理。争议处置服务中心人员受理审核并确认投诉人初步提供的相关证明资料后，填写《湘潭县社会保险费征缴争议受理登记表》（附件1），并在受理后的3个工作日内填写《湘潭县社会保险费征缴争议交办单》（附件2）向人社、医保部门进行争议移交，人社、医保部门将核定的险种、费额等相关数据传递至税务部门后，由税务部门进行征缴，并向缴费人和中心回复反馈。争议处置服务中心按要求登记台账，相关资料留存备查。</w:t>
      </w:r>
    </w:p>
    <w:p w14:paraId="71FF3D52">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宋体" w:hAnsi="宋体" w:eastAsia="仿宋_GB2312" w:cs="宋体"/>
          <w:color w:val="333333"/>
          <w:sz w:val="32"/>
          <w:szCs w:val="24"/>
        </w:rPr>
      </w:pPr>
      <w:r>
        <w:rPr>
          <w:rFonts w:hint="eastAsia" w:ascii="宋体" w:hAnsi="宋体" w:eastAsia="仿宋_GB2312" w:cs="宋体"/>
          <w:i w:val="0"/>
          <w:iCs w:val="0"/>
          <w:caps w:val="0"/>
          <w:color w:val="333333"/>
          <w:spacing w:val="0"/>
          <w:sz w:val="32"/>
          <w:szCs w:val="24"/>
          <w:bdr w:val="none" w:color="auto" w:sz="0" w:space="0"/>
          <w:shd w:val="clear" w:fill="FFFFFF"/>
        </w:rPr>
        <w:t>　　第二种情形：社会保险费划转后欠费</w:t>
      </w:r>
    </w:p>
    <w:p w14:paraId="6F0A8D91">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宋体" w:hAnsi="宋体" w:eastAsia="仿宋_GB2312" w:cs="宋体"/>
          <w:color w:val="333333"/>
          <w:sz w:val="32"/>
          <w:szCs w:val="24"/>
        </w:rPr>
      </w:pPr>
      <w:r>
        <w:rPr>
          <w:rFonts w:hint="eastAsia" w:ascii="宋体" w:hAnsi="宋体" w:eastAsia="仿宋_GB2312" w:cs="宋体"/>
          <w:i w:val="0"/>
          <w:iCs w:val="0"/>
          <w:caps w:val="0"/>
          <w:color w:val="333333"/>
          <w:spacing w:val="0"/>
          <w:sz w:val="32"/>
          <w:szCs w:val="24"/>
          <w:bdr w:val="none" w:color="auto" w:sz="0" w:space="0"/>
          <w:shd w:val="clear" w:fill="FFFFFF"/>
        </w:rPr>
        <w:t>　　社会保险费划转后的欠费争议，由税务部门进行处理。争议处置服务中心受理争议后在3个工作日内向税务机关进行移交，税务部门可联合人社、医保等部门通过系统查询、联系当事人双方了解具体情况。经核实，用人单位逾期不申报缴费的，由税务部门依法向用人单位出具《责令限期改正通知书》。如有条件促成调解约谈的，由税务、人社、医保三部门开展联合约谈，必要时可提请信访局、所在乡镇（街道办事处）等政府相关部门参加。约谈的主要任务是厘清双方诉求、欠费原因等基本情况，告知当事人的权利义务并提出初步意见。当事人双方达成一致的，用人单位在限期内缴费后即可结案。如用人单位逾期仍未缴纳，又无法达成和解的，由税务部门依法依规追缴欠费。</w:t>
      </w:r>
    </w:p>
    <w:p w14:paraId="3D034779">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rPr>
          <w:rFonts w:hint="eastAsia" w:ascii="宋体" w:hAnsi="宋体" w:eastAsia="仿宋_GB2312" w:cs="宋体"/>
          <w:color w:val="333333"/>
          <w:sz w:val="32"/>
          <w:szCs w:val="24"/>
        </w:rPr>
      </w:pPr>
      <w:r>
        <w:rPr>
          <w:rFonts w:hint="eastAsia" w:ascii="宋体" w:hAnsi="宋体" w:eastAsia="仿宋_GB2312" w:cs="宋体"/>
          <w:i w:val="0"/>
          <w:iCs w:val="0"/>
          <w:caps w:val="0"/>
          <w:color w:val="333333"/>
          <w:spacing w:val="0"/>
          <w:sz w:val="32"/>
          <w:szCs w:val="24"/>
          <w:bdr w:val="none" w:color="auto" w:sz="0" w:space="0"/>
          <w:shd w:val="clear" w:fill="FFFFFF"/>
        </w:rPr>
        <w:t>　　3.申报缴费类：该类争议一般为用人单位未按实际工资基数足额申报缴纳社会保险费，影响劳动者享受社保权益的争议。社会保险费划转前的该类争议，由人社、医保部门核实缴费基数；社会保险费划转后的该类争议，服务中心应在受理后的3个工作日内向税务机关进行移交，税务部门接收到交办单后，组织调解。调解无效的，由税务部门依法依规进行征缴。</w:t>
      </w:r>
    </w:p>
    <w:p w14:paraId="1964F360">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rPr>
          <w:rFonts w:hint="eastAsia" w:ascii="宋体" w:hAnsi="宋体" w:eastAsia="仿宋_GB2312" w:cs="宋体"/>
          <w:color w:val="333333"/>
          <w:sz w:val="32"/>
          <w:szCs w:val="24"/>
        </w:rPr>
      </w:pPr>
      <w:r>
        <w:rPr>
          <w:rFonts w:hint="eastAsia" w:ascii="宋体" w:hAnsi="宋体" w:eastAsia="仿宋_GB2312" w:cs="宋体"/>
          <w:i w:val="0"/>
          <w:iCs w:val="0"/>
          <w:caps w:val="0"/>
          <w:color w:val="333333"/>
          <w:spacing w:val="0"/>
          <w:sz w:val="32"/>
          <w:szCs w:val="24"/>
          <w:bdr w:val="none" w:color="auto" w:sz="0" w:space="0"/>
          <w:shd w:val="clear" w:fill="FFFFFF"/>
        </w:rPr>
        <w:t>　　4.权益待遇类：缴费人无法享受待遇或对待遇标准有异议的，由人社、医保部门进行处理，具体参照参保登记类争议流程进行处理。</w:t>
      </w:r>
    </w:p>
    <w:p w14:paraId="2142BF3D">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rPr>
          <w:rFonts w:hint="eastAsia" w:ascii="宋体" w:hAnsi="宋体" w:eastAsia="仿宋_GB2312" w:cs="宋体"/>
          <w:color w:val="333333"/>
          <w:sz w:val="32"/>
          <w:szCs w:val="24"/>
        </w:rPr>
      </w:pPr>
      <w:r>
        <w:rPr>
          <w:rFonts w:hint="eastAsia" w:ascii="宋体" w:hAnsi="宋体" w:eastAsia="仿宋_GB2312" w:cs="宋体"/>
          <w:i w:val="0"/>
          <w:iCs w:val="0"/>
          <w:caps w:val="0"/>
          <w:color w:val="333333"/>
          <w:spacing w:val="0"/>
          <w:sz w:val="32"/>
          <w:szCs w:val="24"/>
          <w:bdr w:val="none" w:color="auto" w:sz="0" w:space="0"/>
          <w:shd w:val="clear" w:fill="FFFFFF"/>
        </w:rPr>
        <w:t>　　5.其他类型：除上述四类争议外的其他争议，争议处置服务中心受理后根据具体情况进行现场调解或流转处理，同时做好台账管理与资料留存备查。</w:t>
      </w:r>
    </w:p>
    <w:p w14:paraId="4B6185F8">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rPr>
          <w:rFonts w:hint="eastAsia" w:ascii="黑体" w:hAnsi="黑体" w:eastAsia="黑体" w:cs="黑体"/>
          <w:color w:val="333333"/>
          <w:sz w:val="32"/>
          <w:szCs w:val="24"/>
        </w:rPr>
      </w:pPr>
      <w:r>
        <w:rPr>
          <w:rFonts w:hint="eastAsia" w:ascii="黑体" w:hAnsi="黑体" w:eastAsia="黑体" w:cs="黑体"/>
          <w:i w:val="0"/>
          <w:iCs w:val="0"/>
          <w:caps w:val="0"/>
          <w:color w:val="333333"/>
          <w:spacing w:val="0"/>
          <w:sz w:val="32"/>
          <w:szCs w:val="24"/>
          <w:bdr w:val="none" w:color="auto" w:sz="0" w:space="0"/>
          <w:shd w:val="clear" w:fill="FFFFFF"/>
        </w:rPr>
        <w:t>　　八、工作要求</w:t>
      </w:r>
    </w:p>
    <w:p w14:paraId="63279D0A">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rPr>
          <w:rFonts w:hint="eastAsia" w:ascii="宋体" w:hAnsi="宋体" w:eastAsia="仿宋_GB2312" w:cs="宋体"/>
          <w:color w:val="333333"/>
          <w:sz w:val="32"/>
          <w:szCs w:val="24"/>
        </w:rPr>
      </w:pPr>
      <w:r>
        <w:rPr>
          <w:rFonts w:hint="eastAsia" w:ascii="宋体" w:hAnsi="宋体" w:eastAsia="仿宋_GB2312" w:cs="宋体"/>
          <w:i w:val="0"/>
          <w:iCs w:val="0"/>
          <w:caps w:val="0"/>
          <w:color w:val="333333"/>
          <w:spacing w:val="0"/>
          <w:sz w:val="32"/>
          <w:szCs w:val="24"/>
          <w:bdr w:val="none" w:color="auto" w:sz="0" w:space="0"/>
          <w:shd w:val="clear" w:fill="FFFFFF"/>
        </w:rPr>
        <w:t>　　（一）提高思想认识，加强组织领导。社会保险费征缴争议处理事关民生福祉，社会关注度高，影响范围广，各相关部门、成员单位要高度重视担当作为、协同发力，严格落实各项工作机制，多元化协调解决争议处理中的堵点、难点问题，妥善处理争议纠纷。</w:t>
      </w:r>
    </w:p>
    <w:p w14:paraId="57F863B2">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rPr>
          <w:rFonts w:hint="eastAsia" w:ascii="宋体" w:hAnsi="宋体" w:eastAsia="仿宋_GB2312" w:cs="宋体"/>
          <w:color w:val="333333"/>
          <w:sz w:val="32"/>
          <w:szCs w:val="24"/>
        </w:rPr>
      </w:pPr>
      <w:r>
        <w:rPr>
          <w:rFonts w:hint="eastAsia" w:ascii="宋体" w:hAnsi="宋体" w:eastAsia="仿宋_GB2312" w:cs="宋体"/>
          <w:i w:val="0"/>
          <w:iCs w:val="0"/>
          <w:caps w:val="0"/>
          <w:color w:val="333333"/>
          <w:spacing w:val="0"/>
          <w:sz w:val="32"/>
          <w:szCs w:val="24"/>
          <w:bdr w:val="none" w:color="auto" w:sz="0" w:space="0"/>
          <w:shd w:val="clear" w:fill="FFFFFF"/>
        </w:rPr>
        <w:t>　　（二）明确协作分工，创新协调方式。各成员部门要将争议处理压实到具体部门、具体岗位、具体人员，协作联动形成合力，努力做到争议不上交、化解快；要多方融合、优势互补、责任共担，创新征缴争议联合处置工作的有效路径方法，精准破解争议难题。</w:t>
      </w:r>
    </w:p>
    <w:p w14:paraId="3390D3A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rPr>
          <w:rFonts w:hint="eastAsia" w:ascii="宋体" w:hAnsi="宋体" w:eastAsia="仿宋_GB2312" w:cs="宋体"/>
          <w:color w:val="333333"/>
          <w:sz w:val="32"/>
          <w:szCs w:val="24"/>
        </w:rPr>
      </w:pPr>
      <w:r>
        <w:rPr>
          <w:rFonts w:hint="eastAsia" w:ascii="宋体" w:hAnsi="宋体" w:eastAsia="仿宋_GB2312" w:cs="宋体"/>
          <w:i w:val="0"/>
          <w:iCs w:val="0"/>
          <w:caps w:val="0"/>
          <w:color w:val="333333"/>
          <w:spacing w:val="0"/>
          <w:sz w:val="32"/>
          <w:szCs w:val="24"/>
          <w:bdr w:val="none" w:color="auto" w:sz="0" w:space="0"/>
          <w:shd w:val="clear" w:fill="FFFFFF"/>
        </w:rPr>
        <w:t>　　（三）注意宣传引导，跟踪督导问效。各相关单位要加强社会保险费政策和法律法规宣传辅导，引导缴费人自觉守法、遇事找法、维权靠法，通过合法渠道表达诉求、通过法律救济维护权益。要加强对征缴争议处理工作的督导落实，坚持问题导向，聚焦问题解决，主动查找争议处理工作中的堵点、难点问题，对争议处理的创新举措和工作经验，及时进行总结推介，形成湘潭县经验。同时要加强督导问效、压实责任，坚决杜绝不作为、缓作为、乱作为现象，对因不担当、不履职、推诿拖拉、工作失误引发舆情、造成不良后果的，严格追责问责。</w:t>
      </w:r>
    </w:p>
    <w:p w14:paraId="40F2126E">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both"/>
        <w:textAlignment w:val="baseline"/>
        <w:rPr>
          <w:rFonts w:ascii="Arial" w:hAnsi="Arial" w:eastAsia="仿宋_GB2312" w:cs="Arial"/>
          <w:color w:val="000000"/>
          <w:sz w:val="32"/>
          <w:szCs w:val="21"/>
        </w:rPr>
      </w:pPr>
      <w:r>
        <w:rPr>
          <w:rFonts w:hint="eastAsia" w:ascii="宋体" w:hAnsi="宋体" w:eastAsia="仿宋_GB2312" w:cs="宋体"/>
          <w:i w:val="0"/>
          <w:iCs w:val="0"/>
          <w:caps w:val="0"/>
          <w:color w:val="000000"/>
          <w:spacing w:val="0"/>
          <w:sz w:val="32"/>
          <w:szCs w:val="21"/>
          <w:bdr w:val="none" w:color="auto" w:sz="0" w:space="0"/>
          <w:shd w:val="clear" w:fill="FFFFFF"/>
          <w:vertAlign w:val="baseline"/>
        </w:rPr>
        <w:t> </w:t>
      </w:r>
    </w:p>
    <w:p w14:paraId="27FBEE29">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both"/>
        <w:textAlignment w:val="baseline"/>
        <w:rPr>
          <w:rFonts w:hint="default" w:ascii="Arial" w:hAnsi="Arial" w:eastAsia="仿宋_GB2312" w:cs="Arial"/>
          <w:color w:val="000000"/>
          <w:sz w:val="32"/>
          <w:szCs w:val="21"/>
        </w:rPr>
      </w:pPr>
      <w:r>
        <w:rPr>
          <w:rFonts w:hint="eastAsia" w:ascii="宋体" w:hAnsi="宋体" w:eastAsia="仿宋_GB2312" w:cs="宋体"/>
          <w:i w:val="0"/>
          <w:iCs w:val="0"/>
          <w:caps w:val="0"/>
          <w:color w:val="000000"/>
          <w:spacing w:val="0"/>
          <w:sz w:val="32"/>
          <w:szCs w:val="24"/>
          <w:bdr w:val="none" w:color="auto" w:sz="0" w:space="0"/>
          <w:shd w:val="clear" w:fill="FFFFFF"/>
          <w:vertAlign w:val="baseline"/>
        </w:rPr>
        <w:t>附件：</w:t>
      </w:r>
      <w:r>
        <w:rPr>
          <w:rFonts w:hint="eastAsia" w:ascii="宋体" w:hAnsi="宋体" w:eastAsia="仿宋_GB2312" w:cs="宋体"/>
          <w:i w:val="0"/>
          <w:iCs w:val="0"/>
          <w:caps w:val="0"/>
          <w:color w:val="000000"/>
          <w:spacing w:val="0"/>
          <w:sz w:val="32"/>
          <w:szCs w:val="32"/>
          <w:bdr w:val="none" w:color="auto" w:sz="0" w:space="0"/>
          <w:shd w:val="clear" w:fill="FFFFFF"/>
          <w:vertAlign w:val="baseline"/>
        </w:rPr>
        <w:t>1.</w:t>
      </w:r>
      <w:r>
        <w:rPr>
          <w:rFonts w:hint="eastAsia" w:ascii="宋体" w:hAnsi="宋体" w:eastAsia="仿宋_GB2312" w:cs="宋体"/>
          <w:i w:val="0"/>
          <w:iCs w:val="0"/>
          <w:caps w:val="0"/>
          <w:color w:val="000000"/>
          <w:spacing w:val="0"/>
          <w:sz w:val="32"/>
          <w:szCs w:val="24"/>
          <w:bdr w:val="none" w:color="auto" w:sz="0" w:space="0"/>
          <w:shd w:val="clear" w:fill="FFFFFF"/>
          <w:vertAlign w:val="baseline"/>
        </w:rPr>
        <w:t>湘潭县社会保险费征缴争议受理登记表</w:t>
      </w:r>
    </w:p>
    <w:p w14:paraId="0DAD5E33">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1600"/>
        <w:jc w:val="both"/>
        <w:textAlignment w:val="baseline"/>
        <w:rPr>
          <w:rFonts w:hint="default" w:ascii="Arial" w:hAnsi="Arial" w:eastAsia="仿宋_GB2312" w:cs="Arial"/>
          <w:color w:val="000000"/>
          <w:sz w:val="32"/>
          <w:szCs w:val="21"/>
        </w:rPr>
      </w:pPr>
      <w:r>
        <w:rPr>
          <w:rFonts w:hint="eastAsia" w:ascii="宋体" w:hAnsi="宋体" w:eastAsia="仿宋_GB2312" w:cs="宋体"/>
          <w:i w:val="0"/>
          <w:iCs w:val="0"/>
          <w:caps w:val="0"/>
          <w:color w:val="000000"/>
          <w:spacing w:val="0"/>
          <w:sz w:val="32"/>
          <w:szCs w:val="32"/>
          <w:bdr w:val="none" w:color="auto" w:sz="0" w:space="0"/>
          <w:shd w:val="clear" w:fill="FFFFFF"/>
          <w:vertAlign w:val="baseline"/>
        </w:rPr>
        <w:t>2.</w:t>
      </w:r>
      <w:r>
        <w:rPr>
          <w:rFonts w:hint="eastAsia" w:ascii="宋体" w:hAnsi="宋体" w:eastAsia="仿宋_GB2312" w:cs="宋体"/>
          <w:i w:val="0"/>
          <w:iCs w:val="0"/>
          <w:caps w:val="0"/>
          <w:color w:val="000000"/>
          <w:spacing w:val="0"/>
          <w:sz w:val="32"/>
          <w:szCs w:val="24"/>
          <w:bdr w:val="none" w:color="auto" w:sz="0" w:space="0"/>
          <w:shd w:val="clear" w:fill="FFFFFF"/>
          <w:vertAlign w:val="baseline"/>
        </w:rPr>
        <w:t>湘潭县社会保险费征缴争议交办单</w:t>
      </w:r>
    </w:p>
    <w:p w14:paraId="7AAB5E32">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1600"/>
        <w:jc w:val="both"/>
        <w:textAlignment w:val="baseline"/>
        <w:rPr>
          <w:rFonts w:hint="default" w:ascii="Arial" w:hAnsi="Arial" w:eastAsia="仿宋_GB2312" w:cs="Arial"/>
          <w:color w:val="000000"/>
          <w:sz w:val="32"/>
          <w:szCs w:val="21"/>
        </w:rPr>
      </w:pPr>
      <w:r>
        <w:rPr>
          <w:rFonts w:hint="eastAsia" w:ascii="宋体" w:hAnsi="宋体" w:eastAsia="仿宋_GB2312" w:cs="宋体"/>
          <w:i w:val="0"/>
          <w:iCs w:val="0"/>
          <w:caps w:val="0"/>
          <w:color w:val="000000"/>
          <w:spacing w:val="0"/>
          <w:sz w:val="32"/>
          <w:szCs w:val="32"/>
          <w:bdr w:val="none" w:color="auto" w:sz="0" w:space="0"/>
          <w:shd w:val="clear" w:fill="FFFFFF"/>
          <w:vertAlign w:val="baseline"/>
        </w:rPr>
        <w:t>3.</w:t>
      </w:r>
      <w:r>
        <w:rPr>
          <w:rFonts w:hint="eastAsia" w:ascii="宋体" w:hAnsi="宋体" w:eastAsia="仿宋_GB2312" w:cs="宋体"/>
          <w:i w:val="0"/>
          <w:iCs w:val="0"/>
          <w:caps w:val="0"/>
          <w:color w:val="000000"/>
          <w:spacing w:val="0"/>
          <w:sz w:val="32"/>
          <w:szCs w:val="24"/>
          <w:bdr w:val="none" w:color="auto" w:sz="0" w:space="0"/>
          <w:shd w:val="clear" w:fill="FFFFFF"/>
          <w:vertAlign w:val="baseline"/>
        </w:rPr>
        <w:t>湘潭县社会保险费征缴争议处理工作台账</w:t>
      </w:r>
    </w:p>
    <w:p w14:paraId="296D485B">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1916" w:right="0" w:hanging="320"/>
        <w:jc w:val="both"/>
        <w:textAlignment w:val="baseline"/>
        <w:rPr>
          <w:rFonts w:hint="default" w:ascii="Arial" w:hAnsi="Arial" w:eastAsia="仿宋_GB2312" w:cs="Arial"/>
          <w:color w:val="000000"/>
          <w:sz w:val="32"/>
          <w:szCs w:val="21"/>
        </w:rPr>
      </w:pPr>
      <w:r>
        <w:rPr>
          <w:rFonts w:hint="eastAsia" w:ascii="宋体" w:hAnsi="宋体" w:eastAsia="仿宋_GB2312" w:cs="宋体"/>
          <w:i w:val="0"/>
          <w:iCs w:val="0"/>
          <w:caps w:val="0"/>
          <w:color w:val="000000"/>
          <w:spacing w:val="0"/>
          <w:sz w:val="32"/>
          <w:szCs w:val="32"/>
          <w:bdr w:val="none" w:color="auto" w:sz="0" w:space="0"/>
          <w:shd w:val="clear" w:fill="FFFFFF"/>
          <w:vertAlign w:val="baseline"/>
        </w:rPr>
        <w:t>4.</w:t>
      </w:r>
      <w:r>
        <w:rPr>
          <w:rFonts w:hint="eastAsia" w:ascii="宋体" w:hAnsi="宋体" w:eastAsia="仿宋_GB2312" w:cs="宋体"/>
          <w:i w:val="0"/>
          <w:iCs w:val="0"/>
          <w:caps w:val="0"/>
          <w:color w:val="000000"/>
          <w:spacing w:val="0"/>
          <w:sz w:val="32"/>
          <w:szCs w:val="24"/>
          <w:bdr w:val="none" w:color="auto" w:sz="0" w:space="0"/>
          <w:shd w:val="clear" w:fill="FFFFFF"/>
          <w:vertAlign w:val="baseline"/>
        </w:rPr>
        <w:t>社会保险费征缴争议处置服务中心精准流转流程图</w:t>
      </w:r>
    </w:p>
    <w:p w14:paraId="52709815">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1609" w:firstLineChars="503"/>
        <w:jc w:val="both"/>
        <w:textAlignment w:val="baseline"/>
        <w:rPr>
          <w:rFonts w:hint="default" w:ascii="宋体" w:hAnsi="宋体" w:eastAsia="仿宋_GB2312" w:cs="宋体"/>
          <w:i w:val="0"/>
          <w:iCs w:val="0"/>
          <w:caps w:val="0"/>
          <w:color w:val="000000"/>
          <w:spacing w:val="0"/>
          <w:sz w:val="32"/>
          <w:szCs w:val="21"/>
          <w:shd w:val="clear" w:fill="FFFFFF"/>
          <w:vertAlign w:val="baseline"/>
        </w:rPr>
      </w:pPr>
      <w:r>
        <w:rPr>
          <w:rFonts w:hint="eastAsia" w:ascii="宋体" w:hAnsi="宋体" w:eastAsia="仿宋_GB2312" w:cs="宋体"/>
          <w:i w:val="0"/>
          <w:iCs w:val="0"/>
          <w:caps w:val="0"/>
          <w:color w:val="000000"/>
          <w:spacing w:val="0"/>
          <w:sz w:val="32"/>
          <w:szCs w:val="21"/>
          <w:shd w:val="clear" w:fill="FFFFFF"/>
          <w:vertAlign w:val="baseline"/>
        </w:rPr>
        <w:t>5.社会保险费征缴争议处置服务中心争议调解流程图</w:t>
      </w:r>
    </w:p>
    <w:p w14:paraId="13BEBF4E">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both"/>
        <w:textAlignment w:val="baseline"/>
        <w:rPr>
          <w:rFonts w:hint="eastAsia" w:ascii="宋体" w:hAnsi="宋体" w:eastAsia="仿宋_GB2312" w:cs="宋体"/>
          <w:i w:val="0"/>
          <w:iCs w:val="0"/>
          <w:caps w:val="0"/>
          <w:color w:val="000000"/>
          <w:spacing w:val="0"/>
          <w:sz w:val="32"/>
          <w:szCs w:val="21"/>
          <w:shd w:val="clear" w:fill="FFFFFF"/>
          <w:vertAlign w:val="baseline"/>
        </w:rPr>
      </w:pPr>
    </w:p>
    <w:p w14:paraId="59AE7541">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both"/>
        <w:textAlignment w:val="baseline"/>
        <w:rPr>
          <w:rFonts w:hint="eastAsia" w:ascii="宋体" w:hAnsi="宋体" w:eastAsia="仿宋_GB2312" w:cs="宋体"/>
          <w:i w:val="0"/>
          <w:iCs w:val="0"/>
          <w:caps w:val="0"/>
          <w:color w:val="000000"/>
          <w:spacing w:val="0"/>
          <w:sz w:val="32"/>
          <w:szCs w:val="21"/>
          <w:shd w:val="clear" w:fill="FFFFFF"/>
          <w:vertAlign w:val="baseline"/>
        </w:rPr>
      </w:pPr>
    </w:p>
    <w:p w14:paraId="3610FA83">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both"/>
        <w:textAlignment w:val="baseline"/>
        <w:rPr>
          <w:rFonts w:hint="eastAsia" w:ascii="宋体" w:hAnsi="宋体" w:eastAsia="仿宋_GB2312" w:cs="宋体"/>
          <w:i w:val="0"/>
          <w:iCs w:val="0"/>
          <w:caps w:val="0"/>
          <w:color w:val="000000"/>
          <w:spacing w:val="0"/>
          <w:sz w:val="32"/>
          <w:szCs w:val="21"/>
          <w:shd w:val="clear" w:fill="FFFFFF"/>
          <w:vertAlign w:val="baseline"/>
        </w:rPr>
      </w:pPr>
    </w:p>
    <w:p w14:paraId="44E8ABCD">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both"/>
        <w:textAlignment w:val="baseline"/>
        <w:rPr>
          <w:rFonts w:hint="eastAsia" w:ascii="宋体" w:hAnsi="宋体" w:eastAsia="仿宋_GB2312" w:cs="宋体"/>
          <w:i w:val="0"/>
          <w:iCs w:val="0"/>
          <w:caps w:val="0"/>
          <w:color w:val="000000"/>
          <w:spacing w:val="0"/>
          <w:sz w:val="32"/>
          <w:szCs w:val="21"/>
          <w:shd w:val="clear" w:fill="FFFFFF"/>
          <w:vertAlign w:val="baseline"/>
        </w:rPr>
      </w:pPr>
    </w:p>
    <w:p w14:paraId="552F319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both"/>
        <w:textAlignment w:val="baseline"/>
        <w:rPr>
          <w:rFonts w:hint="eastAsia" w:ascii="宋体" w:hAnsi="宋体" w:eastAsia="仿宋_GB2312" w:cs="宋体"/>
          <w:i w:val="0"/>
          <w:iCs w:val="0"/>
          <w:caps w:val="0"/>
          <w:color w:val="000000"/>
          <w:spacing w:val="0"/>
          <w:sz w:val="32"/>
          <w:szCs w:val="21"/>
          <w:shd w:val="clear" w:fill="FFFFFF"/>
          <w:vertAlign w:val="baseline"/>
        </w:rPr>
      </w:pPr>
    </w:p>
    <w:p w14:paraId="335A759B">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both"/>
        <w:textAlignment w:val="baseline"/>
        <w:rPr>
          <w:rFonts w:hint="eastAsia" w:ascii="宋体" w:hAnsi="宋体" w:eastAsia="仿宋_GB2312" w:cs="宋体"/>
          <w:i w:val="0"/>
          <w:iCs w:val="0"/>
          <w:caps w:val="0"/>
          <w:color w:val="000000"/>
          <w:spacing w:val="0"/>
          <w:sz w:val="32"/>
          <w:szCs w:val="21"/>
          <w:shd w:val="clear" w:fill="FFFFFF"/>
          <w:vertAlign w:val="baseline"/>
        </w:rPr>
      </w:pPr>
    </w:p>
    <w:p w14:paraId="78A57675">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both"/>
        <w:textAlignment w:val="baseline"/>
        <w:rPr>
          <w:rFonts w:hint="eastAsia" w:ascii="宋体" w:hAnsi="宋体" w:eastAsia="仿宋_GB2312" w:cs="宋体"/>
          <w:i w:val="0"/>
          <w:iCs w:val="0"/>
          <w:caps w:val="0"/>
          <w:color w:val="000000"/>
          <w:spacing w:val="0"/>
          <w:sz w:val="32"/>
          <w:szCs w:val="21"/>
          <w:shd w:val="clear" w:fill="FFFFFF"/>
          <w:vertAlign w:val="baseline"/>
        </w:rPr>
      </w:pPr>
    </w:p>
    <w:p w14:paraId="6C473591">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both"/>
        <w:textAlignment w:val="baseline"/>
        <w:rPr>
          <w:rFonts w:hint="eastAsia" w:ascii="宋体" w:hAnsi="宋体" w:eastAsia="仿宋_GB2312" w:cs="宋体"/>
          <w:i w:val="0"/>
          <w:iCs w:val="0"/>
          <w:caps w:val="0"/>
          <w:color w:val="000000"/>
          <w:spacing w:val="0"/>
          <w:sz w:val="32"/>
          <w:szCs w:val="21"/>
          <w:shd w:val="clear" w:fill="FFFFFF"/>
          <w:vertAlign w:val="baseline"/>
        </w:rPr>
      </w:pPr>
    </w:p>
    <w:p w14:paraId="1252A280">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both"/>
        <w:textAlignment w:val="baseline"/>
        <w:rPr>
          <w:rFonts w:hint="eastAsia" w:ascii="宋体" w:hAnsi="宋体" w:eastAsia="仿宋_GB2312" w:cs="宋体"/>
          <w:i w:val="0"/>
          <w:iCs w:val="0"/>
          <w:caps w:val="0"/>
          <w:color w:val="000000"/>
          <w:spacing w:val="0"/>
          <w:sz w:val="32"/>
          <w:szCs w:val="21"/>
          <w:shd w:val="clear" w:fill="FFFFFF"/>
          <w:vertAlign w:val="baseline"/>
        </w:rPr>
      </w:pPr>
    </w:p>
    <w:p w14:paraId="1DCAA8B6">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both"/>
        <w:textAlignment w:val="baseline"/>
        <w:rPr>
          <w:rFonts w:hint="eastAsia" w:ascii="宋体" w:hAnsi="宋体" w:eastAsia="仿宋_GB2312" w:cs="宋体"/>
          <w:i w:val="0"/>
          <w:iCs w:val="0"/>
          <w:caps w:val="0"/>
          <w:color w:val="000000"/>
          <w:spacing w:val="0"/>
          <w:sz w:val="32"/>
          <w:szCs w:val="21"/>
          <w:shd w:val="clear" w:fill="FFFFFF"/>
          <w:vertAlign w:val="baseline"/>
        </w:rPr>
      </w:pPr>
    </w:p>
    <w:p w14:paraId="4E71B1F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华文中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楷体_GB2312">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7AE55C0"/>
    <w:rsid w:val="4BEA4569"/>
    <w:rsid w:val="50C335DB"/>
    <w:rsid w:val="58EE7C41"/>
    <w:rsid w:val="5C006CB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6"/>
    <w:basedOn w:val="1"/>
    <w:next w:val="1"/>
    <w:semiHidden/>
    <w:unhideWhenUsed/>
    <w:qFormat/>
    <w:uiPriority w:val="0"/>
    <w:pPr>
      <w:spacing w:before="0" w:beforeAutospacing="1" w:after="0" w:afterAutospacing="1"/>
      <w:jc w:val="left"/>
    </w:pPr>
    <w:rPr>
      <w:rFonts w:hint="eastAsia" w:ascii="宋体" w:hAnsi="宋体" w:eastAsia="宋体" w:cs="宋体"/>
      <w:b/>
      <w:bCs/>
      <w:kern w:val="0"/>
      <w:sz w:val="15"/>
      <w:szCs w:val="15"/>
      <w:lang w:val="en-US" w:eastAsia="zh-CN" w:bidi="ar"/>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17</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2024-12-05T08:27:24Z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6B1034A42DDF4843835974940FCE8E52_12</vt:lpwstr>
  </property>
</Properties>
</file>